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kern w:val="0"/>
          <w:sz w:val="24"/>
        </w:rPr>
      </w:pPr>
      <w:r>
        <w:rPr>
          <w:rFonts w:hint="eastAsia" w:ascii="宋体" w:hAnsi="宋体" w:cs="宋体"/>
          <w:kern w:val="0"/>
          <w:sz w:val="24"/>
        </w:rPr>
        <w:t>证券代码：000759        证券简称：中百集团        公告编号：2022-042</w:t>
      </w:r>
    </w:p>
    <w:p>
      <w:pPr>
        <w:spacing w:line="360" w:lineRule="auto"/>
        <w:jc w:val="center"/>
        <w:rPr>
          <w:kern w:val="0"/>
          <w:sz w:val="24"/>
        </w:rPr>
      </w:pPr>
    </w:p>
    <w:p>
      <w:pPr>
        <w:pStyle w:val="9"/>
        <w:adjustRightInd w:val="0"/>
        <w:snapToGrid w:val="0"/>
        <w:spacing w:before="0" w:beforeAutospacing="0" w:after="0" w:afterAutospacing="0"/>
        <w:ind w:right="178" w:rightChars="85"/>
        <w:jc w:val="center"/>
        <w:rPr>
          <w:rStyle w:val="12"/>
          <w:rFonts w:ascii="Times New Roman" w:hAnsi="Times New Roman" w:eastAsia="黑体" w:cs="Times New Roman"/>
          <w:color w:val="auto"/>
          <w:sz w:val="36"/>
          <w:szCs w:val="36"/>
        </w:rPr>
      </w:pPr>
      <w:r>
        <w:rPr>
          <w:rStyle w:val="12"/>
          <w:rFonts w:hint="eastAsia" w:ascii="Times New Roman" w:hAnsi="Times New Roman" w:eastAsia="黑体" w:cs="Times New Roman"/>
          <w:color w:val="auto"/>
          <w:sz w:val="36"/>
          <w:szCs w:val="36"/>
        </w:rPr>
        <w:t>中百控股集团股份有限公司</w:t>
      </w:r>
    </w:p>
    <w:p>
      <w:pPr>
        <w:pStyle w:val="9"/>
        <w:adjustRightInd w:val="0"/>
        <w:snapToGrid w:val="0"/>
        <w:spacing w:before="0" w:beforeAutospacing="0" w:after="0" w:afterAutospacing="0"/>
        <w:ind w:right="178" w:rightChars="85"/>
        <w:jc w:val="center"/>
        <w:rPr>
          <w:rStyle w:val="12"/>
          <w:rFonts w:ascii="Times New Roman" w:hAnsi="Times New Roman" w:eastAsia="黑体" w:cs="Times New Roman"/>
          <w:color w:val="auto"/>
          <w:sz w:val="36"/>
          <w:szCs w:val="36"/>
        </w:rPr>
      </w:pPr>
      <w:r>
        <w:rPr>
          <w:rStyle w:val="12"/>
          <w:rFonts w:hint="eastAsia" w:ascii="Times New Roman" w:hAnsi="Times New Roman" w:eastAsia="黑体" w:cs="Times New Roman"/>
          <w:color w:val="auto"/>
          <w:sz w:val="36"/>
          <w:szCs w:val="36"/>
        </w:rPr>
        <w:t>第十届董事会第十六次</w:t>
      </w:r>
      <w:r>
        <w:rPr>
          <w:rStyle w:val="12"/>
          <w:rFonts w:hint="eastAsia" w:eastAsia="黑体"/>
          <w:sz w:val="36"/>
          <w:szCs w:val="36"/>
        </w:rPr>
        <w:t>会议决议公告</w:t>
      </w:r>
    </w:p>
    <w:p>
      <w:pPr>
        <w:pStyle w:val="13"/>
        <w:snapToGrid w:val="0"/>
        <w:jc w:val="center"/>
        <w:rPr>
          <w:rStyle w:val="14"/>
          <w:rFonts w:hAnsi="黑体"/>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13"/>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pStyle w:val="9"/>
        <w:adjustRightInd w:val="0"/>
        <w:snapToGrid w:val="0"/>
        <w:spacing w:before="0" w:beforeAutospacing="0" w:after="0" w:afterAutospacing="0" w:line="360" w:lineRule="auto"/>
        <w:ind w:firstLine="480" w:firstLineChars="200"/>
        <w:jc w:val="both"/>
        <w:rPr>
          <w:rStyle w:val="12"/>
          <w:rFonts w:hint="eastAsia" w:cs="Times New Roman"/>
        </w:rPr>
      </w:pPr>
    </w:p>
    <w:p>
      <w:pPr>
        <w:pStyle w:val="9"/>
        <w:adjustRightInd w:val="0"/>
        <w:snapToGrid w:val="0"/>
        <w:spacing w:before="0" w:beforeAutospacing="0" w:after="0" w:afterAutospacing="0" w:line="360" w:lineRule="auto"/>
        <w:ind w:firstLine="480" w:firstLineChars="200"/>
        <w:jc w:val="both"/>
        <w:rPr>
          <w:rStyle w:val="12"/>
          <w:rFonts w:cs="Times New Roman"/>
        </w:rPr>
      </w:pPr>
      <w:r>
        <w:rPr>
          <w:rStyle w:val="12"/>
          <w:rFonts w:hint="eastAsia" w:cs="Times New Roman"/>
        </w:rPr>
        <w:t>中百控股集团股份有限公司（以下简称“公司”）第十届董事会第十六次会议于2022年8月25日上午9:00以现场与通讯表决相结合的方式在公司三楼319会议室召开。本次会议通知于2022年8月15日以电子邮件形式发出。应参会董事10名，实际参会董事10名。会议由董事长李军先生主持，公司</w:t>
      </w:r>
      <w:r>
        <w:rPr>
          <w:rStyle w:val="12"/>
          <w:rFonts w:hint="eastAsia" w:cs="Times New Roman"/>
          <w:lang w:val="en-US" w:eastAsia="zh-CN"/>
        </w:rPr>
        <w:t>部分</w:t>
      </w:r>
      <w:r>
        <w:rPr>
          <w:rStyle w:val="12"/>
          <w:rFonts w:hint="eastAsia" w:cs="Times New Roman"/>
        </w:rPr>
        <w:t>监事及高级管理人员列席了会议。参加会议的董事符合法定人数，董事会会议的召集、召开及表决程序符合《公司法》及公司章程的规定。</w:t>
      </w:r>
    </w:p>
    <w:p>
      <w:pPr>
        <w:pStyle w:val="9"/>
        <w:adjustRightInd w:val="0"/>
        <w:snapToGrid w:val="0"/>
        <w:spacing w:before="0" w:beforeAutospacing="0" w:after="0" w:afterAutospacing="0" w:line="360" w:lineRule="auto"/>
        <w:ind w:firstLine="480" w:firstLineChars="200"/>
        <w:jc w:val="both"/>
        <w:rPr>
          <w:rStyle w:val="12"/>
          <w:rFonts w:cs="Times New Roman"/>
        </w:rPr>
      </w:pPr>
      <w:r>
        <w:rPr>
          <w:rStyle w:val="12"/>
          <w:rFonts w:hint="eastAsia" w:cs="Times New Roman"/>
        </w:rPr>
        <w:t>会议审议通过了以下议案：</w:t>
      </w:r>
    </w:p>
    <w:p>
      <w:pPr>
        <w:pStyle w:val="9"/>
        <w:adjustRightInd w:val="0"/>
        <w:snapToGrid w:val="0"/>
        <w:spacing w:before="0" w:beforeAutospacing="0" w:after="0" w:afterAutospacing="0" w:line="360" w:lineRule="auto"/>
        <w:ind w:firstLine="480" w:firstLineChars="200"/>
        <w:jc w:val="both"/>
        <w:rPr>
          <w:rStyle w:val="12"/>
          <w:rFonts w:ascii="黑体" w:hAnsi="黑体" w:eastAsia="黑体" w:cs="Times New Roman"/>
        </w:rPr>
      </w:pPr>
      <w:r>
        <w:rPr>
          <w:rStyle w:val="12"/>
          <w:rFonts w:hint="eastAsia" w:ascii="黑体" w:hAnsi="黑体" w:eastAsia="黑体" w:cs="黑体"/>
        </w:rPr>
        <w:t>一、</w:t>
      </w:r>
      <w:r>
        <w:rPr>
          <w:rFonts w:hint="eastAsia" w:ascii="黑体" w:hAnsi="黑体" w:eastAsia="黑体" w:cs="黑体"/>
        </w:rPr>
        <w:t>关于2022年半年度报告正文及摘要的议案。</w:t>
      </w:r>
    </w:p>
    <w:p>
      <w:pPr>
        <w:pStyle w:val="9"/>
        <w:adjustRightInd w:val="0"/>
        <w:snapToGrid w:val="0"/>
        <w:spacing w:before="0" w:beforeAutospacing="0" w:after="0" w:afterAutospacing="0" w:line="360" w:lineRule="auto"/>
        <w:ind w:firstLine="480" w:firstLineChars="200"/>
        <w:jc w:val="both"/>
      </w:pPr>
      <w:r>
        <w:t>表决结果：</w:t>
      </w:r>
      <w:r>
        <w:rPr>
          <w:rFonts w:hint="eastAsia"/>
        </w:rPr>
        <w:t>10</w:t>
      </w:r>
      <w:r>
        <w:t>票同意，0 票反对，0 票弃权。</w:t>
      </w:r>
    </w:p>
    <w:p>
      <w:pPr>
        <w:pStyle w:val="9"/>
        <w:adjustRightInd w:val="0"/>
        <w:snapToGrid w:val="0"/>
        <w:spacing w:before="0" w:beforeAutospacing="0" w:after="0" w:afterAutospacing="0" w:line="360" w:lineRule="auto"/>
        <w:ind w:firstLine="480" w:firstLineChars="200"/>
        <w:jc w:val="both"/>
      </w:pPr>
      <w:r>
        <w:rPr>
          <w:rFonts w:hint="eastAsia"/>
        </w:rPr>
        <w:t>《中百控股集团股份有限公司2022年半年度报告》及《中百控股集团股份有限公司2022年半年度报告摘要》（公告编号：2022-043）详见同日巨潮网公告。</w:t>
      </w:r>
    </w:p>
    <w:p>
      <w:pPr>
        <w:pStyle w:val="9"/>
        <w:adjustRightInd w:val="0"/>
        <w:snapToGrid w:val="0"/>
        <w:spacing w:before="0" w:beforeAutospacing="0" w:after="0" w:afterAutospacing="0" w:line="360" w:lineRule="auto"/>
        <w:ind w:firstLine="480" w:firstLineChars="200"/>
        <w:jc w:val="both"/>
        <w:rPr>
          <w:rStyle w:val="12"/>
          <w:rFonts w:ascii="黑体" w:hAnsi="黑体" w:eastAsia="黑体" w:cs="黑体"/>
        </w:rPr>
      </w:pPr>
      <w:r>
        <w:rPr>
          <w:rStyle w:val="12"/>
          <w:rFonts w:hint="eastAsia" w:ascii="黑体" w:hAnsi="黑体" w:eastAsia="黑体" w:cs="黑体"/>
        </w:rPr>
        <w:t>二、关于补选董事的议案。</w:t>
      </w:r>
    </w:p>
    <w:p>
      <w:pPr>
        <w:pStyle w:val="9"/>
        <w:adjustRightInd w:val="0"/>
        <w:snapToGrid w:val="0"/>
        <w:spacing w:before="0" w:beforeAutospacing="0" w:after="0" w:afterAutospacing="0" w:line="360" w:lineRule="auto"/>
        <w:ind w:firstLine="480" w:firstLineChars="200"/>
        <w:jc w:val="both"/>
      </w:pPr>
      <w:r>
        <w:t>表决结果：1</w:t>
      </w:r>
      <w:r>
        <w:rPr>
          <w:rFonts w:hint="eastAsia"/>
        </w:rPr>
        <w:t>0</w:t>
      </w:r>
      <w:r>
        <w:t>票同意，0 票反对，0 票弃权。</w:t>
      </w:r>
    </w:p>
    <w:p>
      <w:pPr>
        <w:pStyle w:val="9"/>
        <w:adjustRightInd w:val="0"/>
        <w:snapToGrid w:val="0"/>
        <w:spacing w:before="0" w:beforeAutospacing="0" w:after="0" w:afterAutospacing="0" w:line="360" w:lineRule="auto"/>
        <w:ind w:firstLine="480" w:firstLineChars="200"/>
        <w:jc w:val="both"/>
      </w:pPr>
      <w:r>
        <w:rPr>
          <w:rFonts w:hint="eastAsia"/>
        </w:rPr>
        <w:t>孙昊女士因个人原因辞去公司董事职务，公司股东永辉超市股份有限公司提名黄明月女士（简历附后）为公司第十届董事会董事候选人，任期自股东大会审议通过之日起至本届董事会届满。本次补选董事后，董事会中兼任公司高级管理人员以及由职工代表担任的董事人数总计未超过公司董事总数的二分之一。</w:t>
      </w:r>
    </w:p>
    <w:p>
      <w:pPr>
        <w:pStyle w:val="9"/>
        <w:adjustRightInd w:val="0"/>
        <w:snapToGrid w:val="0"/>
        <w:spacing w:before="0" w:beforeAutospacing="0" w:after="0" w:afterAutospacing="0" w:line="360" w:lineRule="auto"/>
        <w:ind w:firstLine="480" w:firstLineChars="200"/>
        <w:jc w:val="both"/>
      </w:pPr>
      <w:r>
        <w:rPr>
          <w:rFonts w:hint="eastAsia"/>
        </w:rPr>
        <w:t>公司独立董事发表了相关独立意见，详见同日巨潮网公告。该议案需提交股东大会审议批准，股东大会的召开时间另行通知。</w:t>
      </w:r>
    </w:p>
    <w:p>
      <w:pPr>
        <w:pStyle w:val="9"/>
        <w:adjustRightInd w:val="0"/>
        <w:snapToGrid w:val="0"/>
        <w:spacing w:before="0" w:beforeAutospacing="0" w:after="0" w:afterAutospacing="0" w:line="360" w:lineRule="auto"/>
        <w:ind w:firstLine="480" w:firstLineChars="200"/>
        <w:jc w:val="both"/>
        <w:rPr>
          <w:rStyle w:val="12"/>
          <w:rFonts w:ascii="黑体" w:hAnsi="黑体" w:eastAsia="黑体" w:cs="黑体"/>
        </w:rPr>
      </w:pPr>
      <w:r>
        <w:rPr>
          <w:rStyle w:val="12"/>
          <w:rFonts w:hint="eastAsia" w:ascii="黑体" w:hAnsi="黑体" w:eastAsia="黑体" w:cs="黑体"/>
        </w:rPr>
        <w:t>三、关于公司经营层2021年度绩效薪酬兑付的议案。</w:t>
      </w:r>
    </w:p>
    <w:p>
      <w:pPr>
        <w:pStyle w:val="9"/>
        <w:adjustRightInd w:val="0"/>
        <w:snapToGrid w:val="0"/>
        <w:spacing w:before="0" w:beforeAutospacing="0" w:after="0" w:afterAutospacing="0" w:line="360" w:lineRule="auto"/>
        <w:ind w:firstLine="480" w:firstLineChars="200"/>
        <w:jc w:val="both"/>
      </w:pPr>
      <w:r>
        <w:t>表决结果：</w:t>
      </w:r>
      <w:r>
        <w:rPr>
          <w:rFonts w:hint="eastAsia"/>
        </w:rPr>
        <w:t>10</w:t>
      </w:r>
      <w:r>
        <w:t>票同意，0 票反对，0 票弃权。</w:t>
      </w:r>
    </w:p>
    <w:p>
      <w:pPr>
        <w:pStyle w:val="9"/>
        <w:adjustRightInd w:val="0"/>
        <w:snapToGrid w:val="0"/>
        <w:spacing w:before="0" w:beforeAutospacing="0" w:after="0" w:afterAutospacing="0" w:line="360" w:lineRule="auto"/>
        <w:ind w:firstLine="480" w:firstLineChars="200"/>
        <w:jc w:val="both"/>
        <w:rPr>
          <w:rStyle w:val="12"/>
          <w:rFonts w:cs="Times New Roman"/>
        </w:rPr>
      </w:pPr>
      <w:r>
        <w:rPr>
          <w:rStyle w:val="12"/>
          <w:rFonts w:hint="eastAsia" w:cs="Times New Roman"/>
        </w:rPr>
        <w:t>特此公告。</w:t>
      </w:r>
    </w:p>
    <w:p>
      <w:pPr>
        <w:pStyle w:val="9"/>
        <w:adjustRightInd w:val="0"/>
        <w:snapToGrid w:val="0"/>
        <w:spacing w:before="0" w:beforeAutospacing="0" w:after="0" w:afterAutospacing="0" w:line="360" w:lineRule="auto"/>
        <w:ind w:firstLine="5040" w:firstLineChars="2100"/>
        <w:jc w:val="both"/>
        <w:rPr>
          <w:rStyle w:val="12"/>
          <w:rFonts w:hint="eastAsia" w:cs="Times New Roman"/>
        </w:rPr>
      </w:pPr>
      <w:r>
        <w:rPr>
          <w:rStyle w:val="12"/>
          <w:rFonts w:hint="eastAsia" w:cs="Times New Roman"/>
        </w:rPr>
        <w:t>中百控股集团股份有限公司</w:t>
      </w:r>
    </w:p>
    <w:p>
      <w:pPr>
        <w:pStyle w:val="9"/>
        <w:adjustRightInd w:val="0"/>
        <w:snapToGrid w:val="0"/>
        <w:spacing w:before="0" w:beforeAutospacing="0" w:after="0" w:afterAutospacing="0" w:line="360" w:lineRule="auto"/>
        <w:ind w:firstLine="6000" w:firstLineChars="2500"/>
        <w:jc w:val="both"/>
        <w:rPr>
          <w:rStyle w:val="12"/>
          <w:rFonts w:cs="Times New Roman"/>
        </w:rPr>
      </w:pPr>
      <w:r>
        <w:rPr>
          <w:rStyle w:val="12"/>
          <w:rFonts w:hint="eastAsia" w:cs="Times New Roman"/>
        </w:rPr>
        <w:t>董 事 会</w:t>
      </w:r>
    </w:p>
    <w:p>
      <w:pPr>
        <w:pStyle w:val="9"/>
        <w:adjustRightInd w:val="0"/>
        <w:snapToGrid w:val="0"/>
        <w:spacing w:before="0" w:beforeAutospacing="0" w:after="0" w:afterAutospacing="0" w:line="360" w:lineRule="auto"/>
        <w:ind w:firstLine="480" w:firstLineChars="200"/>
        <w:jc w:val="both"/>
        <w:rPr>
          <w:rStyle w:val="12"/>
          <w:rFonts w:hint="eastAsia" w:cs="Times New Roman"/>
        </w:rPr>
      </w:pPr>
      <w:r>
        <w:rPr>
          <w:rStyle w:val="12"/>
          <w:rFonts w:hint="eastAsia" w:cs="Times New Roman"/>
        </w:rPr>
        <w:t xml:space="preserve">                                        </w:t>
      </w:r>
      <w:r>
        <w:rPr>
          <w:rStyle w:val="12"/>
          <w:rFonts w:hint="eastAsia" w:cs="Times New Roman"/>
          <w:lang w:val="en-US" w:eastAsia="zh-CN"/>
        </w:rPr>
        <w:t xml:space="preserve"> </w:t>
      </w:r>
      <w:bookmarkStart w:id="0" w:name="_GoBack"/>
      <w:bookmarkEnd w:id="0"/>
      <w:r>
        <w:rPr>
          <w:rStyle w:val="12"/>
          <w:rFonts w:hint="eastAsia" w:cs="Times New Roman"/>
        </w:rPr>
        <w:t xml:space="preserve"> 2022年8月27日</w:t>
      </w:r>
    </w:p>
    <w:p>
      <w:pPr>
        <w:pStyle w:val="9"/>
        <w:adjustRightInd w:val="0"/>
        <w:snapToGrid w:val="0"/>
        <w:spacing w:before="0" w:beforeAutospacing="0" w:after="0" w:afterAutospacing="0" w:line="360" w:lineRule="auto"/>
        <w:ind w:firstLine="480" w:firstLineChars="200"/>
        <w:jc w:val="both"/>
        <w:rPr>
          <w:rStyle w:val="12"/>
          <w:rFonts w:hint="eastAsia" w:cs="Times New Roman"/>
        </w:rPr>
      </w:pPr>
    </w:p>
    <w:p>
      <w:pPr>
        <w:pStyle w:val="9"/>
        <w:adjustRightInd w:val="0"/>
        <w:snapToGrid w:val="0"/>
        <w:spacing w:before="0" w:beforeAutospacing="0" w:after="0" w:afterAutospacing="0" w:line="360" w:lineRule="auto"/>
        <w:ind w:firstLine="480" w:firstLineChars="200"/>
        <w:jc w:val="both"/>
        <w:rPr>
          <w:rStyle w:val="12"/>
          <w:rFonts w:hint="eastAsia" w:cs="Times New Roman"/>
        </w:rPr>
      </w:pPr>
    </w:p>
    <w:p>
      <w:pPr>
        <w:pStyle w:val="9"/>
        <w:adjustRightInd w:val="0"/>
        <w:snapToGrid w:val="0"/>
        <w:spacing w:before="0" w:beforeAutospacing="0" w:after="0" w:afterAutospacing="0" w:line="360" w:lineRule="auto"/>
        <w:ind w:firstLine="480" w:firstLineChars="200"/>
        <w:jc w:val="both"/>
        <w:rPr>
          <w:rStyle w:val="12"/>
          <w:rFonts w:hint="eastAsia" w:cs="Times New Roman"/>
        </w:rPr>
      </w:pPr>
    </w:p>
    <w:p>
      <w:pPr>
        <w:pStyle w:val="9"/>
        <w:adjustRightInd w:val="0"/>
        <w:snapToGrid w:val="0"/>
        <w:spacing w:before="0" w:beforeAutospacing="0" w:after="0" w:afterAutospacing="0" w:line="360" w:lineRule="auto"/>
        <w:ind w:firstLine="480" w:firstLineChars="200"/>
        <w:jc w:val="both"/>
        <w:rPr>
          <w:rStyle w:val="12"/>
          <w:rFonts w:cs="Times New Roman"/>
        </w:rPr>
      </w:pPr>
    </w:p>
    <w:p>
      <w:pPr>
        <w:autoSpaceDE w:val="0"/>
        <w:autoSpaceDN w:val="0"/>
        <w:adjustRightInd w:val="0"/>
        <w:snapToGrid w:val="0"/>
        <w:spacing w:line="360" w:lineRule="auto"/>
        <w:ind w:firstLine="588" w:firstLineChars="196"/>
        <w:jc w:val="center"/>
      </w:pPr>
      <w:r>
        <w:rPr>
          <w:rFonts w:hint="eastAsia" w:ascii="黑体" w:hAnsi="黑体" w:eastAsia="黑体" w:cs="宋体"/>
          <w:color w:val="000000"/>
          <w:sz w:val="30"/>
          <w:szCs w:val="30"/>
        </w:rPr>
        <w:t>董事候选人简历</w:t>
      </w:r>
    </w:p>
    <w:p>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黄明月，女，1977年出生，硕士学历。历任福建潮一经贸有限公司财务部主办会计；厦门强力巨彩光电科技有限公司财务部财务经理；一丁集团股份有限公司财务管理部财务总监；永辉超市股份有限公司财务副总监、永辉超市股份有限公司财管中心负责人等职。现任永辉超市股份有限公司财务负责人。</w:t>
      </w:r>
    </w:p>
    <w:p>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rPr>
          <w:rFonts w:ascii="楷体" w:hAnsi="楷体" w:eastAsia="楷体"/>
          <w:sz w:val="24"/>
        </w:rPr>
      </w:pPr>
      <w:r>
        <w:rPr>
          <w:rFonts w:hint="eastAsia" w:ascii="宋体" w:hAnsi="宋体"/>
          <w:snapToGrid w:val="0"/>
          <w:kern w:val="0"/>
          <w:sz w:val="24"/>
        </w:rPr>
        <w:t>未持有公司股份，不存在不得提名为董事的情形；未受过中国证监会及其他有关部门的处罚和证券交易所纪律处分；未因涉嫌犯罪被司法机关立案侦查或涉嫌违法违规被中国证监会立案稽查；未被列为失信被执行人；符合有关法律、行政法规、部门规章、规范性文件、《股票上市规则》及交易所其他相关规定等要求的任职资格。在公司股东永辉超市股份有限公司任职，除该股东及其一致行动人外，未与其他持有公司5%以上股份的股东、实际控制人、公司其他董事、监事和高级管理人员存在关联关系。</w:t>
      </w:r>
    </w:p>
    <w:p>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2YmQ2ZDI5NTY5ODZhYmZiNTg1MWIwOWQ4ZmRhOTkifQ=="/>
  </w:docVars>
  <w:rsids>
    <w:rsidRoot w:val="703F67E5"/>
    <w:rsid w:val="00357898"/>
    <w:rsid w:val="003B126D"/>
    <w:rsid w:val="005453B4"/>
    <w:rsid w:val="005B1B09"/>
    <w:rsid w:val="00720381"/>
    <w:rsid w:val="00774708"/>
    <w:rsid w:val="0E815217"/>
    <w:rsid w:val="0F0C3A5B"/>
    <w:rsid w:val="0F22235A"/>
    <w:rsid w:val="167514F4"/>
    <w:rsid w:val="1CF2042A"/>
    <w:rsid w:val="24FB5C8E"/>
    <w:rsid w:val="253B79D1"/>
    <w:rsid w:val="2BEB0A76"/>
    <w:rsid w:val="4344430F"/>
    <w:rsid w:val="449F670D"/>
    <w:rsid w:val="45A43980"/>
    <w:rsid w:val="59EF25AA"/>
    <w:rsid w:val="60EC0FB3"/>
    <w:rsid w:val="611E50B2"/>
    <w:rsid w:val="63452E4E"/>
    <w:rsid w:val="68297D70"/>
    <w:rsid w:val="6A132F25"/>
    <w:rsid w:val="6EA15987"/>
    <w:rsid w:val="6F4E00C9"/>
    <w:rsid w:val="703F67E5"/>
    <w:rsid w:val="7C2F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3"/>
    <w:next w:val="5"/>
    <w:qFormat/>
    <w:uiPriority w:val="0"/>
    <w:pPr>
      <w:snapToGrid w:val="0"/>
      <w:spacing w:line="288" w:lineRule="auto"/>
      <w:ind w:firstLine="880"/>
    </w:pPr>
    <w:rPr>
      <w:rFonts w:eastAsia="方正书宋简体"/>
      <w:sz w:val="24"/>
      <w:szCs w:val="21"/>
    </w:rPr>
  </w:style>
  <w:style w:type="paragraph" w:styleId="3">
    <w:name w:val="Body Text First Indent"/>
    <w:basedOn w:val="4"/>
    <w:semiHidden/>
    <w:unhideWhenUsed/>
    <w:qFormat/>
    <w:uiPriority w:val="0"/>
    <w:pPr>
      <w:ind w:firstLine="420" w:firstLineChars="100"/>
    </w:pPr>
    <w:rPr>
      <w:rFonts w:ascii="Calibri" w:hAnsi="Calibri"/>
      <w:szCs w:val="22"/>
    </w:rPr>
  </w:style>
  <w:style w:type="paragraph" w:styleId="4">
    <w:name w:val="Body Text"/>
    <w:basedOn w:val="1"/>
    <w:qFormat/>
    <w:uiPriority w:val="0"/>
    <w:pPr>
      <w:spacing w:after="120"/>
    </w:pPr>
  </w:style>
  <w:style w:type="paragraph" w:styleId="5">
    <w:name w:val="Balloon Text"/>
    <w:basedOn w:val="1"/>
    <w:semiHidden/>
    <w:qFormat/>
    <w:uiPriority w:val="0"/>
    <w:rPr>
      <w:sz w:val="18"/>
      <w:szCs w:val="18"/>
    </w:rPr>
  </w:style>
  <w:style w:type="paragraph" w:styleId="6">
    <w:name w:val="Date"/>
    <w:basedOn w:val="1"/>
    <w:next w:val="1"/>
    <w:link w:val="17"/>
    <w:qFormat/>
    <w:uiPriority w:val="0"/>
    <w:pPr>
      <w:ind w:left="100" w:leftChars="250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12">
    <w:name w:val="da"/>
    <w:basedOn w:val="11"/>
    <w:qFormat/>
    <w:uiPriority w:val="0"/>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da1"/>
    <w:qFormat/>
    <w:uiPriority w:val="0"/>
    <w:rPr>
      <w:rFonts w:hint="default" w:ascii="ˎ̥" w:hAnsi="ˎ̥"/>
      <w:color w:val="000000"/>
      <w:sz w:val="21"/>
      <w:szCs w:val="21"/>
      <w:u w:val="none"/>
    </w:rPr>
  </w:style>
  <w:style w:type="character" w:customStyle="1" w:styleId="15">
    <w:name w:val="页眉 Char"/>
    <w:basedOn w:val="11"/>
    <w:link w:val="8"/>
    <w:qFormat/>
    <w:uiPriority w:val="0"/>
    <w:rPr>
      <w:rFonts w:ascii="Times New Roman" w:hAnsi="Times New Roman" w:eastAsia="宋体" w:cs="Times New Roman"/>
      <w:kern w:val="2"/>
      <w:sz w:val="18"/>
      <w:szCs w:val="18"/>
    </w:rPr>
  </w:style>
  <w:style w:type="character" w:customStyle="1" w:styleId="16">
    <w:name w:val="页脚 Char"/>
    <w:basedOn w:val="11"/>
    <w:link w:val="7"/>
    <w:qFormat/>
    <w:uiPriority w:val="0"/>
    <w:rPr>
      <w:rFonts w:ascii="Times New Roman" w:hAnsi="Times New Roman" w:eastAsia="宋体" w:cs="Times New Roman"/>
      <w:kern w:val="2"/>
      <w:sz w:val="18"/>
      <w:szCs w:val="18"/>
    </w:rPr>
  </w:style>
  <w:style w:type="character" w:customStyle="1" w:styleId="17">
    <w:name w:val="日期 Char"/>
    <w:basedOn w:val="11"/>
    <w:link w:val="6"/>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175</Words>
  <Characters>999</Characters>
  <Lines>8</Lines>
  <Paragraphs>2</Paragraphs>
  <TotalTime>13</TotalTime>
  <ScaleCrop>false</ScaleCrop>
  <LinksUpToDate>false</LinksUpToDate>
  <CharactersWithSpaces>1172</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2022-07-05T00:48:00Z</dcterms:created>
  <dc:creator>王茂</dc:creator>
  <cp:lastModifiedBy>王茂</cp:lastModifiedBy>
  <cp:lastPrinted>2022-08-25T02:48:00Z</cp:lastPrinted>
  <dcterms:modified xsi:type="dcterms:W3CDTF">2022-08-26T03:10:51Z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C16971A98197453CADB001786608E5EE</vt:lpwstr>
  </property>
</Properties>
</file>