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200" w:after="200" w:line="360" w:lineRule="auto"/>
        <w:jc w:val="center"/>
        <w:textAlignment w:val="auto"/>
        <w:rPr>
          <w:rFonts w:hint="default" w:ascii="宋体" w:hAnsi="宋体" w:eastAsia="宋体" w:cs="宋体"/>
          <w:sz w:val="24"/>
          <w:szCs w:val="24"/>
          <w:lang w:val="en-US" w:eastAsia="zh-CN"/>
        </w:rPr>
      </w:pPr>
      <w:r>
        <w:rPr>
          <w:rFonts w:ascii="宋体" w:hAnsi="宋体" w:eastAsia="宋体" w:cs="宋体"/>
          <w:sz w:val="24"/>
          <w:szCs w:val="24"/>
        </w:rPr>
        <w:t>证券代码：000759              证券简称：中百集团              公告编号：</w:t>
      </w:r>
      <w:r>
        <w:rPr>
          <w:rFonts w:hint="eastAsia" w:ascii="宋体" w:hAnsi="宋体" w:cs="宋体"/>
          <w:sz w:val="24"/>
          <w:szCs w:val="24"/>
          <w:lang w:val="en-US" w:eastAsia="zh-CN"/>
        </w:rPr>
        <w:t>2022-043</w:t>
      </w:r>
    </w:p>
    <w:p>
      <w:pPr>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ascii="宋体" w:hAnsi="宋体" w:eastAsia="宋体" w:cs="宋体"/>
          <w:b/>
          <w:bCs/>
          <w:sz w:val="36"/>
          <w:szCs w:val="36"/>
        </w:rPr>
      </w:pPr>
      <w:r>
        <w:rPr>
          <w:rFonts w:ascii="宋体" w:hAnsi="宋体" w:eastAsia="宋体" w:cs="宋体"/>
          <w:b/>
          <w:bCs/>
          <w:sz w:val="36"/>
          <w:szCs w:val="36"/>
        </w:rPr>
        <w:t>中百控股集团股份有限公司</w:t>
      </w:r>
    </w:p>
    <w:p>
      <w:pPr>
        <w:keepNext w:val="0"/>
        <w:keepLines w:val="0"/>
        <w:pageBreakBefore w:val="0"/>
        <w:widowControl w:val="0"/>
        <w:kinsoku/>
        <w:wordWrap/>
        <w:overflowPunct/>
        <w:topLinePunct w:val="0"/>
        <w:autoSpaceDE/>
        <w:autoSpaceDN/>
        <w:bidi w:val="0"/>
        <w:adjustRightInd w:val="0"/>
        <w:snapToGrid w:val="0"/>
        <w:spacing w:before="0" w:line="240" w:lineRule="auto"/>
        <w:jc w:val="center"/>
        <w:textAlignment w:val="auto"/>
        <w:rPr>
          <w:rFonts w:ascii="宋体" w:hAnsi="宋体" w:eastAsia="宋体" w:cs="宋体"/>
          <w:b/>
          <w:bCs/>
          <w:sz w:val="36"/>
          <w:szCs w:val="36"/>
        </w:rPr>
      </w:pPr>
      <w:r>
        <w:rPr>
          <w:rFonts w:ascii="宋体" w:hAnsi="宋体" w:eastAsia="宋体" w:cs="宋体"/>
          <w:b/>
          <w:bCs/>
          <w:sz w:val="36"/>
          <w:szCs w:val="36"/>
        </w:rPr>
        <w:t>2022年半年度报告摘要</w:t>
      </w:r>
    </w:p>
    <w:p>
      <w:pPr>
        <w:keepNext/>
        <w:keepLines/>
        <w:pageBreakBefore w:val="0"/>
        <w:widowControl w:val="0"/>
        <w:kinsoku/>
        <w:wordWrap/>
        <w:overflowPunct/>
        <w:topLinePunct w:val="0"/>
        <w:autoSpaceDE/>
        <w:autoSpaceDN/>
        <w:bidi w:val="0"/>
        <w:adjustRightInd w:val="0"/>
        <w:snapToGrid w:val="0"/>
        <w:spacing w:before="300" w:line="240" w:lineRule="auto"/>
        <w:jc w:val="left"/>
        <w:textAlignment w:val="auto"/>
        <w:outlineLvl w:val="1"/>
        <w:rPr>
          <w:rFonts w:hint="eastAsia" w:ascii="黑体" w:hAnsi="黑体" w:eastAsia="黑体" w:cs="黑体"/>
          <w:b w:val="0"/>
          <w:bCs w:val="0"/>
          <w:sz w:val="24"/>
          <w:szCs w:val="24"/>
        </w:rPr>
      </w:pPr>
      <w:bookmarkStart w:id="0" w:name="_Toc988889"/>
      <w:r>
        <w:rPr>
          <w:rFonts w:hint="eastAsia" w:ascii="黑体" w:hAnsi="黑体" w:eastAsia="黑体" w:cs="黑体"/>
          <w:b w:val="0"/>
          <w:bCs w:val="0"/>
          <w:sz w:val="24"/>
          <w:szCs w:val="24"/>
        </w:rPr>
        <w:t>一、重要提示</w:t>
      </w:r>
      <w:bookmarkEnd w:id="0"/>
    </w:p>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eastAsia="宋体" w:cs="宋体"/>
          <w:sz w:val="24"/>
          <w:szCs w:val="24"/>
        </w:rPr>
      </w:pPr>
      <w:r>
        <w:rPr>
          <w:rFonts w:ascii="宋体" w:hAnsi="宋体" w:eastAsia="宋体" w:cs="宋体"/>
          <w:sz w:val="24"/>
          <w:szCs w:val="24"/>
        </w:rPr>
        <w:t>本半年度报告摘要来自半年度报告全文，为全面了解本公司的经营成果、财务状况及未来发展规划，投资者应当到证监会指定媒体仔细阅读半年度报告全文。</w:t>
      </w:r>
    </w:p>
    <w:p>
      <w:pPr>
        <w:keepNext w:val="0"/>
        <w:keepLines w:val="0"/>
        <w:pageBreakBefore w:val="0"/>
        <w:widowControl w:val="0"/>
        <w:kinsoku/>
        <w:wordWrap/>
        <w:overflowPunct/>
        <w:topLinePunct w:val="0"/>
        <w:autoSpaceDE/>
        <w:autoSpaceDN/>
        <w:bidi w:val="0"/>
        <w:adjustRightInd w:val="0"/>
        <w:snapToGrid/>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所有董事均已出席了审议本报告的董事会会议。</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r>
        <w:rPr>
          <w:rFonts w:ascii="宋体" w:hAnsi="宋体" w:eastAsia="宋体" w:cs="宋体"/>
          <w:sz w:val="24"/>
          <w:szCs w:val="24"/>
        </w:rPr>
        <w:t>非标准审计意见提示</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r>
        <w:rPr>
          <w:rFonts w:ascii="宋体" w:hAnsi="宋体" w:eastAsia="宋体" w:cs="宋体"/>
          <w:sz w:val="24"/>
          <w:szCs w:val="24"/>
        </w:rPr>
        <w:t>董事会审议的报告期普通股利润分配预案或公积金转增股本预案</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公司计划不派发现金红利，不送红股，不以公积金转增股本。</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r>
        <w:rPr>
          <w:rFonts w:ascii="宋体" w:hAnsi="宋体" w:eastAsia="宋体" w:cs="宋体"/>
          <w:sz w:val="24"/>
          <w:szCs w:val="24"/>
        </w:rPr>
        <w:t>董事会决议通过的本报告期优先股利润分配预案</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keepLines/>
        <w:pageBreakBefore w:val="0"/>
        <w:widowControl w:val="0"/>
        <w:kinsoku/>
        <w:wordWrap/>
        <w:overflowPunct/>
        <w:topLinePunct w:val="0"/>
        <w:autoSpaceDE/>
        <w:autoSpaceDN/>
        <w:bidi w:val="0"/>
        <w:adjustRightInd w:val="0"/>
        <w:snapToGrid w:val="0"/>
        <w:spacing w:before="300" w:line="240" w:lineRule="auto"/>
        <w:jc w:val="left"/>
        <w:textAlignment w:val="auto"/>
        <w:outlineLvl w:val="1"/>
        <w:rPr>
          <w:rFonts w:hint="eastAsia" w:ascii="黑体" w:hAnsi="黑体" w:eastAsia="黑体" w:cs="黑体"/>
          <w:b w:val="0"/>
          <w:bCs w:val="0"/>
          <w:sz w:val="24"/>
          <w:szCs w:val="24"/>
        </w:rPr>
      </w:pPr>
      <w:bookmarkStart w:id="1" w:name="_Toc988890"/>
      <w:r>
        <w:rPr>
          <w:rFonts w:hint="eastAsia" w:ascii="黑体" w:hAnsi="黑体" w:eastAsia="黑体" w:cs="黑体"/>
          <w:b w:val="0"/>
          <w:bCs w:val="0"/>
          <w:sz w:val="24"/>
          <w:szCs w:val="24"/>
        </w:rPr>
        <w:t>二、公司基本情况</w:t>
      </w:r>
      <w:bookmarkEnd w:id="1"/>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bookmarkStart w:id="2" w:name="_Toc988891"/>
      <w:r>
        <w:rPr>
          <w:rFonts w:ascii="宋体" w:hAnsi="宋体" w:eastAsia="宋体" w:cs="宋体"/>
          <w:sz w:val="24"/>
          <w:szCs w:val="24"/>
        </w:rPr>
        <w:t>1、公司简介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89"/>
        <w:gridCol w:w="2566"/>
        <w:gridCol w:w="839"/>
        <w:gridCol w:w="1303"/>
        <w:gridCol w:w="2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股票简称</w:t>
            </w:r>
          </w:p>
        </w:tc>
        <w:tc>
          <w:tcPr>
            <w:tcW w:w="256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中百集团</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000759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股票上市交易所</w:t>
            </w:r>
          </w:p>
        </w:tc>
        <w:tc>
          <w:tcPr>
            <w:tcW w:w="6850" w:type="dxa"/>
            <w:gridSpan w:val="4"/>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联系人和联系方式</w:t>
            </w:r>
          </w:p>
        </w:tc>
        <w:tc>
          <w:tcPr>
            <w:tcW w:w="340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董事会秘书</w:t>
            </w:r>
          </w:p>
        </w:tc>
        <w:tc>
          <w:tcPr>
            <w:tcW w:w="344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姓</w:t>
            </w:r>
            <w:r>
              <w:rPr>
                <w:rFonts w:hint="eastAsia" w:ascii="宋体" w:hAnsi="宋体" w:cs="宋体"/>
                <w:sz w:val="21"/>
                <w:szCs w:val="21"/>
                <w:lang w:val="en-US" w:eastAsia="zh-CN"/>
              </w:rPr>
              <w:t xml:space="preserve">    </w:t>
            </w:r>
            <w:r>
              <w:rPr>
                <w:rFonts w:ascii="宋体" w:hAnsi="宋体" w:eastAsia="宋体" w:cs="宋体"/>
                <w:sz w:val="21"/>
                <w:szCs w:val="21"/>
              </w:rPr>
              <w:t>名</w:t>
            </w:r>
          </w:p>
        </w:tc>
        <w:tc>
          <w:tcPr>
            <w:tcW w:w="340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万慧岚</w:t>
            </w:r>
          </w:p>
        </w:tc>
        <w:tc>
          <w:tcPr>
            <w:tcW w:w="344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张国强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办公地址</w:t>
            </w:r>
          </w:p>
        </w:tc>
        <w:tc>
          <w:tcPr>
            <w:tcW w:w="340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湖北省武汉市江汉区新华路630号</w:t>
            </w:r>
          </w:p>
        </w:tc>
        <w:tc>
          <w:tcPr>
            <w:tcW w:w="344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湖北省武汉市江汉区新华路630号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电</w:t>
            </w:r>
            <w:r>
              <w:rPr>
                <w:rFonts w:hint="eastAsia" w:ascii="宋体" w:hAnsi="宋体" w:cs="宋体"/>
                <w:sz w:val="21"/>
                <w:szCs w:val="21"/>
                <w:lang w:val="en-US" w:eastAsia="zh-CN"/>
              </w:rPr>
              <w:t xml:space="preserve">    </w:t>
            </w:r>
            <w:r>
              <w:rPr>
                <w:rFonts w:ascii="宋体" w:hAnsi="宋体" w:eastAsia="宋体" w:cs="宋体"/>
                <w:sz w:val="21"/>
                <w:szCs w:val="21"/>
              </w:rPr>
              <w:t>话</w:t>
            </w:r>
          </w:p>
        </w:tc>
        <w:tc>
          <w:tcPr>
            <w:tcW w:w="340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027-82833891</w:t>
            </w:r>
          </w:p>
        </w:tc>
        <w:tc>
          <w:tcPr>
            <w:tcW w:w="344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027-82832006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9"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电子信箱</w:t>
            </w:r>
          </w:p>
        </w:tc>
        <w:tc>
          <w:tcPr>
            <w:tcW w:w="340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whl@whzb.com</w:t>
            </w:r>
          </w:p>
        </w:tc>
        <w:tc>
          <w:tcPr>
            <w:tcW w:w="344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zbjtzqb@whzb.com</w:t>
            </w:r>
          </w:p>
        </w:tc>
      </w:tr>
    </w:tbl>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bookmarkStart w:id="3" w:name="_Toc988892"/>
      <w:r>
        <w:rPr>
          <w:rFonts w:ascii="宋体" w:hAnsi="宋体" w:eastAsia="宋体" w:cs="宋体"/>
          <w:sz w:val="24"/>
          <w:szCs w:val="24"/>
        </w:rPr>
        <w:t>2、主要财务数据和财务指标</w:t>
      </w:r>
      <w:bookmarkEnd w:id="3"/>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公司是否需追溯调整或重述以前年度会计数据</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□是 </w:t>
      </w:r>
      <w:r>
        <w:rPr>
          <w:rFonts w:ascii="宋体" w:hAnsi="宋体" w:eastAsia="宋体" w:cs="宋体"/>
          <w:sz w:val="24"/>
          <w:szCs w:val="24"/>
        </w:rPr>
        <w:sym w:font="Wingdings 2" w:char="F052"/>
      </w:r>
      <w:r>
        <w:rPr>
          <w:rFonts w:ascii="宋体" w:hAnsi="宋体" w:eastAsia="宋体" w:cs="宋体"/>
          <w:sz w:val="24"/>
          <w:szCs w:val="24"/>
        </w:rPr>
        <w:t>否</w:t>
      </w:r>
    </w:p>
    <w:tbl>
      <w:tblPr>
        <w:tblStyle w:val="3"/>
        <w:tblW w:w="9630" w:type="dxa"/>
        <w:tblInd w:w="-6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8" w:type="dxa"/>
          <w:bottom w:w="0" w:type="dxa"/>
          <w:right w:w="28" w:type="dxa"/>
        </w:tblCellMar>
      </w:tblPr>
      <w:tblGrid>
        <w:gridCol w:w="3443"/>
        <w:gridCol w:w="2295"/>
        <w:gridCol w:w="2235"/>
        <w:gridCol w:w="1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textAlignment w:val="auto"/>
              <w:rPr>
                <w:sz w:val="21"/>
                <w:szCs w:val="21"/>
              </w:rPr>
            </w:pPr>
          </w:p>
        </w:tc>
        <w:tc>
          <w:tcPr>
            <w:tcW w:w="2295"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本报告期</w:t>
            </w:r>
          </w:p>
        </w:tc>
        <w:tc>
          <w:tcPr>
            <w:tcW w:w="2235"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上年同期</w:t>
            </w:r>
          </w:p>
        </w:tc>
        <w:tc>
          <w:tcPr>
            <w:tcW w:w="165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营业收入（元）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6,239,874,184.73</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6,334,425,937.47</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归属于上市公司股东的净利润（元）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-39,662,819.84</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7,721,313.81</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-613.68%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归属于上市公司股东的扣除非经常性损益的净利润（元）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-54,016,092.44</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-31,689,533.76</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-70.45%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经营活动产生的现金流量净额（元）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503,637,155.90</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531,013,755.87</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基本每股收益（元/股）</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-0.06</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0.01</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稀释每股收益（元/股）</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-0.06</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0.01</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加权平均净资产收益率</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-1.30%</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0.24%</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hint="eastAsia" w:ascii="宋体" w:hAnsi="宋体" w:eastAsia="宋体" w:cs="宋体"/>
                <w:sz w:val="21"/>
                <w:szCs w:val="21"/>
              </w:rPr>
              <w:t>同比下降1.54个百分点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textAlignment w:val="auto"/>
              <w:rPr>
                <w:sz w:val="21"/>
                <w:szCs w:val="21"/>
              </w:rPr>
            </w:pPr>
          </w:p>
        </w:tc>
        <w:tc>
          <w:tcPr>
            <w:tcW w:w="2295"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本报告期末</w:t>
            </w:r>
          </w:p>
        </w:tc>
        <w:tc>
          <w:tcPr>
            <w:tcW w:w="2235"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上年度末</w:t>
            </w:r>
          </w:p>
        </w:tc>
        <w:tc>
          <w:tcPr>
            <w:tcW w:w="1657"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center"/>
              <w:textAlignment w:val="auto"/>
              <w:rPr>
                <w:rFonts w:ascii="宋体" w:hAnsi="宋体" w:eastAsia="宋体" w:cs="宋体"/>
                <w:sz w:val="21"/>
                <w:szCs w:val="21"/>
              </w:rPr>
            </w:pPr>
            <w:r>
              <w:rPr>
                <w:rFonts w:ascii="宋体" w:hAnsi="宋体" w:eastAsia="宋体" w:cs="宋体"/>
                <w:sz w:val="21"/>
                <w:szCs w:val="21"/>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总资产（元）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hint="eastAsia" w:ascii="宋体" w:hAnsi="宋体" w:cs="宋体"/>
                <w:sz w:val="21"/>
                <w:szCs w:val="21"/>
                <w:lang w:val="en-US" w:eastAsia="zh-CN"/>
              </w:rPr>
              <w:t>12,272,448,391.44</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12,461,313,707.81</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hint="eastAsia" w:ascii="宋体" w:hAnsi="宋体" w:cs="宋体"/>
                <w:sz w:val="21"/>
                <w:szCs w:val="21"/>
                <w:lang w:val="en-US" w:eastAsia="zh-CN"/>
              </w:rPr>
              <w:t>-1.52</w:t>
            </w:r>
            <w:r>
              <w:rPr>
                <w:rFonts w:ascii="宋体" w:hAnsi="宋体" w:eastAsia="宋体" w:cs="宋体"/>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443"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left"/>
              <w:textAlignment w:val="auto"/>
              <w:rPr>
                <w:rFonts w:ascii="宋体" w:hAnsi="宋体" w:eastAsia="宋体" w:cs="宋体"/>
                <w:sz w:val="21"/>
                <w:szCs w:val="21"/>
              </w:rPr>
            </w:pPr>
            <w:r>
              <w:rPr>
                <w:rFonts w:ascii="宋体" w:hAnsi="宋体" w:eastAsia="宋体" w:cs="宋体"/>
                <w:sz w:val="21"/>
                <w:szCs w:val="21"/>
              </w:rPr>
              <w:t>归属于上市公司股东的净资产（元）</w:t>
            </w:r>
          </w:p>
        </w:tc>
        <w:tc>
          <w:tcPr>
            <w:tcW w:w="22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3,034,136,430.60</w:t>
            </w:r>
          </w:p>
        </w:tc>
        <w:tc>
          <w:tcPr>
            <w:tcW w:w="22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3,073,799,250.44</w:t>
            </w:r>
          </w:p>
        </w:tc>
        <w:tc>
          <w:tcPr>
            <w:tcW w:w="165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40" w:after="40" w:line="240" w:lineRule="auto"/>
              <w:jc w:val="right"/>
              <w:textAlignment w:val="auto"/>
              <w:rPr>
                <w:rFonts w:ascii="宋体" w:hAnsi="宋体" w:eastAsia="宋体" w:cs="宋体"/>
                <w:sz w:val="21"/>
                <w:szCs w:val="21"/>
              </w:rPr>
            </w:pPr>
            <w:r>
              <w:rPr>
                <w:rFonts w:ascii="宋体" w:hAnsi="宋体" w:eastAsia="宋体" w:cs="宋体"/>
                <w:sz w:val="21"/>
                <w:szCs w:val="21"/>
              </w:rPr>
              <w:t>-1.29%</w:t>
            </w:r>
          </w:p>
        </w:tc>
      </w:tr>
    </w:tbl>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bookmarkStart w:id="4" w:name="_Toc988893"/>
      <w:r>
        <w:rPr>
          <w:rFonts w:ascii="宋体" w:hAnsi="宋体" w:eastAsia="宋体" w:cs="宋体"/>
          <w:sz w:val="24"/>
          <w:szCs w:val="24"/>
        </w:rPr>
        <w:t>3、公司股东数量及持股情况</w:t>
      </w:r>
      <w:bookmarkEnd w:id="4"/>
    </w:p>
    <w:p>
      <w:pPr>
        <w:spacing w:before="120" w:after="120" w:line="240" w:lineRule="exact"/>
        <w:jc w:val="right"/>
        <w:rPr>
          <w:rFonts w:ascii="宋体" w:hAnsi="宋体" w:eastAsia="宋体" w:cs="宋体"/>
          <w:sz w:val="24"/>
          <w:szCs w:val="24"/>
        </w:rPr>
      </w:pPr>
      <w:r>
        <w:rPr>
          <w:rFonts w:ascii="宋体" w:hAnsi="宋体" w:eastAsia="宋体" w:cs="宋体"/>
          <w:sz w:val="24"/>
          <w:szCs w:val="24"/>
        </w:rPr>
        <w:t>单位：股</w:t>
      </w:r>
    </w:p>
    <w:tbl>
      <w:tblPr>
        <w:tblStyle w:val="3"/>
        <w:tblW w:w="9630" w:type="dxa"/>
        <w:tblInd w:w="-6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8" w:type="dxa"/>
          <w:bottom w:w="0" w:type="dxa"/>
          <w:right w:w="28" w:type="dxa"/>
        </w:tblCellMar>
      </w:tblPr>
      <w:tblGrid>
        <w:gridCol w:w="2370"/>
        <w:gridCol w:w="765"/>
        <w:gridCol w:w="750"/>
        <w:gridCol w:w="825"/>
        <w:gridCol w:w="1050"/>
        <w:gridCol w:w="1335"/>
        <w:gridCol w:w="885"/>
        <w:gridCol w:w="405"/>
        <w:gridCol w:w="105"/>
        <w:gridCol w:w="11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237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报告期末普通股股东总数</w:t>
            </w:r>
          </w:p>
        </w:tc>
        <w:tc>
          <w:tcPr>
            <w:tcW w:w="151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20,675</w:t>
            </w:r>
          </w:p>
        </w:tc>
        <w:tc>
          <w:tcPr>
            <w:tcW w:w="450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报告期末表决权恢复的优先股股东总数（如有）</w:t>
            </w:r>
          </w:p>
        </w:tc>
        <w:tc>
          <w:tcPr>
            <w:tcW w:w="124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9630" w:type="dxa"/>
            <w:gridSpan w:val="10"/>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股东名称</w:t>
            </w:r>
          </w:p>
        </w:tc>
        <w:tc>
          <w:tcPr>
            <w:tcW w:w="157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股东性质</w:t>
            </w:r>
          </w:p>
        </w:tc>
        <w:tc>
          <w:tcPr>
            <w:tcW w:w="10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持股比例</w:t>
            </w:r>
          </w:p>
        </w:tc>
        <w:tc>
          <w:tcPr>
            <w:tcW w:w="13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持股数量</w:t>
            </w:r>
          </w:p>
        </w:tc>
        <w:tc>
          <w:tcPr>
            <w:tcW w:w="8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sz w:val="21"/>
                <w:szCs w:val="21"/>
              </w:rPr>
            </w:pPr>
            <w:r>
              <w:rPr>
                <w:rFonts w:ascii="宋体" w:hAnsi="宋体" w:eastAsia="宋体" w:cs="宋体"/>
                <w:sz w:val="21"/>
                <w:szCs w:val="21"/>
              </w:rPr>
              <w:t>持有有限售条件的股份数量</w:t>
            </w:r>
          </w:p>
        </w:tc>
        <w:tc>
          <w:tcPr>
            <w:tcW w:w="165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sz w:val="21"/>
                <w:szCs w:val="21"/>
              </w:rPr>
            </w:pPr>
            <w:r>
              <w:rPr>
                <w:rFonts w:ascii="宋体" w:hAnsi="宋体" w:eastAsia="宋体" w:cs="宋体"/>
                <w:sz w:val="21"/>
                <w:szCs w:val="21"/>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1"/>
                <w:szCs w:val="21"/>
              </w:rPr>
            </w:pPr>
          </w:p>
        </w:tc>
        <w:tc>
          <w:tcPr>
            <w:tcW w:w="157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1"/>
                <w:szCs w:val="21"/>
              </w:rPr>
            </w:pPr>
          </w:p>
        </w:tc>
        <w:tc>
          <w:tcPr>
            <w:tcW w:w="10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1"/>
                <w:szCs w:val="21"/>
              </w:rPr>
            </w:pPr>
          </w:p>
        </w:tc>
        <w:tc>
          <w:tcPr>
            <w:tcW w:w="13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1"/>
                <w:szCs w:val="21"/>
              </w:rPr>
            </w:pPr>
          </w:p>
        </w:tc>
        <w:tc>
          <w:tcPr>
            <w:tcW w:w="8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21"/>
                <w:szCs w:val="21"/>
              </w:rPr>
            </w:pPr>
          </w:p>
        </w:tc>
        <w:tc>
          <w:tcPr>
            <w:tcW w:w="5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sz w:val="21"/>
                <w:szCs w:val="21"/>
              </w:rPr>
            </w:pPr>
            <w:r>
              <w:rPr>
                <w:rFonts w:ascii="宋体" w:hAnsi="宋体" w:eastAsia="宋体" w:cs="宋体"/>
                <w:sz w:val="21"/>
                <w:szCs w:val="21"/>
              </w:rPr>
              <w:t>股份状态</w:t>
            </w:r>
          </w:p>
        </w:tc>
        <w:tc>
          <w:tcPr>
            <w:tcW w:w="114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z w:val="21"/>
                <w:szCs w:val="21"/>
              </w:rPr>
            </w:pPr>
            <w:r>
              <w:rPr>
                <w:rFonts w:ascii="宋体" w:hAnsi="宋体" w:eastAsia="宋体" w:cs="宋体"/>
                <w:sz w:val="21"/>
                <w:szCs w:val="21"/>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武汉商联（集团）股份有限公司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20.07%</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136,684,090</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64,741</w:t>
            </w: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重庆永辉超市有限公司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境内非国有法人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15.02%</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102,284,543</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武汉华汉投资管理有限公司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13.93%</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94,853,195</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永辉物流有限公司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境内非国有法人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9.84%</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67,016,493</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新光控股集团有限公司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境内非国有法人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5.95%</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40,528,928</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冻结</w:t>
            </w: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40,528,928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永辉超市股份有限公司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境内非国有法人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5.00%</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34,051,090</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sz w:val="21"/>
                <w:szCs w:val="21"/>
              </w:rPr>
            </w:pPr>
            <w:r>
              <w:rPr>
                <w:rFonts w:ascii="宋体" w:hAnsi="宋体" w:eastAsia="宋体" w:cs="宋体"/>
                <w:sz w:val="21"/>
                <w:szCs w:val="21"/>
              </w:rPr>
              <w:t>长江证券－工商银行－长江证券超越理财宝6号集合资产管理计划</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其他</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1.53%</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10,396,700</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bookmarkStart w:id="9" w:name="_GoBack"/>
            <w:bookmarkEnd w:id="9"/>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必拓电子商务有限公司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境内非国有法人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0.97%</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6,578,755</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武汉城市建设集团有限公司</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国有法人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0.92%</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6,296,831</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李桃</w:t>
            </w:r>
          </w:p>
        </w:tc>
        <w:tc>
          <w:tcPr>
            <w:tcW w:w="1575"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r>
              <w:rPr>
                <w:rFonts w:ascii="宋体" w:hAnsi="宋体" w:eastAsia="宋体" w:cs="宋体"/>
                <w:sz w:val="21"/>
                <w:szCs w:val="21"/>
              </w:rPr>
              <w:t>境内自然人</w:t>
            </w:r>
          </w:p>
        </w:tc>
        <w:tc>
          <w:tcPr>
            <w:tcW w:w="105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0.67%</w:t>
            </w: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r>
              <w:rPr>
                <w:rFonts w:ascii="宋体" w:hAnsi="宋体" w:eastAsia="宋体" w:cs="宋体"/>
                <w:sz w:val="21"/>
                <w:szCs w:val="21"/>
              </w:rPr>
              <w:t>4,580,716</w:t>
            </w:r>
          </w:p>
        </w:tc>
        <w:tc>
          <w:tcPr>
            <w:tcW w:w="88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c>
          <w:tcPr>
            <w:tcW w:w="51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宋体"/>
                <w:sz w:val="21"/>
                <w:szCs w:val="21"/>
              </w:rPr>
            </w:pPr>
          </w:p>
        </w:tc>
        <w:tc>
          <w:tcPr>
            <w:tcW w:w="11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ascii="宋体" w:hAnsi="宋体" w:eastAsia="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sz w:val="21"/>
                <w:szCs w:val="21"/>
              </w:rPr>
            </w:pPr>
            <w:r>
              <w:rPr>
                <w:rFonts w:ascii="宋体" w:hAnsi="宋体" w:eastAsia="宋体" w:cs="宋体"/>
                <w:sz w:val="21"/>
                <w:szCs w:val="21"/>
              </w:rPr>
              <w:t>上述股东关联关系或一致行动的说明</w:t>
            </w:r>
          </w:p>
        </w:tc>
        <w:tc>
          <w:tcPr>
            <w:tcW w:w="6495" w:type="dxa"/>
            <w:gridSpan w:val="8"/>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sz w:val="21"/>
                <w:szCs w:val="21"/>
              </w:rPr>
            </w:pPr>
            <w:r>
              <w:rPr>
                <w:rFonts w:ascii="宋体" w:hAnsi="宋体" w:eastAsia="宋体" w:cs="宋体"/>
                <w:sz w:val="21"/>
                <w:szCs w:val="21"/>
              </w:rPr>
              <w:t>武汉商联(集团)股份有限公司和武汉华汉投资管理有限公司的控股股东同为武汉商贸集团有限公司。永辉超市股份有限公司及其全资子公司重庆永辉超市有限公司、永辉物流有限公司为一致行动人。公司未知其他股东间是否存在关联关系或一致行动人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cs="宋体"/>
                <w:sz w:val="21"/>
                <w:szCs w:val="21"/>
              </w:rPr>
              <w:t>前10名股东中存在回购专户的特别说明（如有）</w:t>
            </w:r>
          </w:p>
        </w:tc>
        <w:tc>
          <w:tcPr>
            <w:tcW w:w="6495" w:type="dxa"/>
            <w:gridSpan w:val="8"/>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eastAsia="宋体" w:cs="宋体"/>
                <w:sz w:val="21"/>
                <w:szCs w:val="21"/>
              </w:rPr>
            </w:pPr>
            <w:r>
              <w:rPr>
                <w:rFonts w:ascii="宋体" w:hAnsi="宋体" w:cs="宋体"/>
                <w:sz w:val="21"/>
                <w:szCs w:val="21"/>
              </w:rPr>
              <w:t>中百控股集团股份有限公司回购专用证券账户报告期末持股数量为24,992,014股，约占公司目前总股本的3.67%。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8" w:type="dxa"/>
            <w:bottom w:w="0" w:type="dxa"/>
            <w:right w:w="28" w:type="dxa"/>
          </w:tblCellMar>
        </w:tblPrEx>
        <w:trPr>
          <w:trHeight w:val="240" w:hRule="atLeast"/>
        </w:trPr>
        <w:tc>
          <w:tcPr>
            <w:tcW w:w="31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sz w:val="21"/>
                <w:szCs w:val="21"/>
              </w:rPr>
            </w:pPr>
            <w:r>
              <w:rPr>
                <w:rFonts w:ascii="宋体" w:hAnsi="宋体" w:eastAsia="宋体" w:cs="宋体"/>
                <w:sz w:val="21"/>
                <w:szCs w:val="21"/>
              </w:rPr>
              <w:t>参与融资融券业务股东情况说明（如有）</w:t>
            </w:r>
          </w:p>
        </w:tc>
        <w:tc>
          <w:tcPr>
            <w:tcW w:w="6495" w:type="dxa"/>
            <w:gridSpan w:val="8"/>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sz w:val="21"/>
                <w:szCs w:val="21"/>
              </w:rPr>
            </w:pPr>
            <w:r>
              <w:rPr>
                <w:rFonts w:ascii="宋体" w:hAnsi="宋体" w:eastAsia="宋体" w:cs="宋体"/>
                <w:sz w:val="21"/>
                <w:szCs w:val="21"/>
              </w:rPr>
              <w:t>无</w:t>
            </w:r>
          </w:p>
        </w:tc>
      </w:tr>
    </w:tbl>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bookmarkStart w:id="5" w:name="_Toc988894"/>
      <w:r>
        <w:rPr>
          <w:rFonts w:ascii="宋体" w:hAnsi="宋体" w:eastAsia="宋体" w:cs="宋体"/>
          <w:sz w:val="24"/>
          <w:szCs w:val="24"/>
        </w:rPr>
        <w:t>4、控股股东或实际控制人变更情况</w:t>
      </w:r>
      <w:bookmarkEnd w:id="5"/>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控股股东报告期内变更</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公司报告期控股股东未发生变更。</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r>
        <w:rPr>
          <w:rFonts w:ascii="宋体" w:hAnsi="宋体" w:eastAsia="宋体" w:cs="宋体"/>
          <w:sz w:val="24"/>
          <w:szCs w:val="24"/>
        </w:rPr>
        <w:t>实际控制人报告期内变更</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公司报告期实际控制人未发生变更。</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bookmarkStart w:id="6" w:name="_Toc988895"/>
      <w:r>
        <w:rPr>
          <w:rFonts w:ascii="宋体" w:hAnsi="宋体" w:eastAsia="宋体" w:cs="宋体"/>
          <w:sz w:val="24"/>
          <w:szCs w:val="24"/>
        </w:rPr>
        <w:t>5、公司优先股股东总数及前10名优先股股东持股情况表</w:t>
      </w:r>
      <w:bookmarkEnd w:id="6"/>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公司报告期无优先股股东持股情况。</w:t>
      </w:r>
    </w:p>
    <w:p>
      <w:pPr>
        <w:keepNext w:val="0"/>
        <w:keepLines w:val="0"/>
        <w:pageBreakBefore w:val="0"/>
        <w:widowControl w:val="0"/>
        <w:kinsoku/>
        <w:wordWrap/>
        <w:overflowPunct/>
        <w:topLinePunct w:val="0"/>
        <w:autoSpaceDE/>
        <w:autoSpaceDN/>
        <w:bidi w:val="0"/>
        <w:adjustRightInd w:val="0"/>
        <w:snapToGrid w:val="0"/>
        <w:spacing w:before="200" w:line="240" w:lineRule="auto"/>
        <w:jc w:val="left"/>
        <w:textAlignment w:val="auto"/>
        <w:rPr>
          <w:rFonts w:ascii="宋体" w:hAnsi="宋体" w:eastAsia="宋体" w:cs="宋体"/>
          <w:sz w:val="24"/>
          <w:szCs w:val="24"/>
        </w:rPr>
      </w:pPr>
      <w:bookmarkStart w:id="7" w:name="_Toc988896"/>
      <w:r>
        <w:rPr>
          <w:rFonts w:ascii="宋体" w:hAnsi="宋体" w:eastAsia="宋体" w:cs="宋体"/>
          <w:sz w:val="24"/>
          <w:szCs w:val="24"/>
        </w:rPr>
        <w:t>6、在半年度报告批准报出日存续的债券情况</w:t>
      </w:r>
      <w:bookmarkEnd w:id="7"/>
    </w:p>
    <w:p>
      <w:pPr>
        <w:keepNext w:val="0"/>
        <w:keepLines w:val="0"/>
        <w:pageBreakBefore w:val="0"/>
        <w:widowControl w:val="0"/>
        <w:kinsoku/>
        <w:wordWrap/>
        <w:overflowPunct/>
        <w:topLinePunct w:val="0"/>
        <w:autoSpaceDE/>
        <w:autoSpaceDN/>
        <w:bidi w:val="0"/>
        <w:adjustRightInd w:val="0"/>
        <w:snapToGrid w:val="0"/>
        <w:spacing w:before="0" w:after="0" w:line="240" w:lineRule="auto"/>
        <w:jc w:val="left"/>
        <w:textAlignment w:val="auto"/>
        <w:rPr>
          <w:rFonts w:ascii="宋体" w:hAnsi="宋体" w:eastAsia="宋体" w:cs="宋体"/>
          <w:sz w:val="24"/>
          <w:szCs w:val="24"/>
        </w:rPr>
      </w:pPr>
      <w:r>
        <w:rPr>
          <w:rFonts w:ascii="宋体" w:hAnsi="宋体" w:eastAsia="宋体" w:cs="宋体"/>
          <w:sz w:val="24"/>
          <w:szCs w:val="24"/>
        </w:rPr>
        <w:t xml:space="preserve">□适用 </w:t>
      </w:r>
      <w:r>
        <w:rPr>
          <w:rFonts w:ascii="宋体" w:hAnsi="宋体" w:eastAsia="宋体" w:cs="宋体"/>
          <w:sz w:val="24"/>
          <w:szCs w:val="24"/>
        </w:rPr>
        <w:sym w:font="Wingdings 2" w:char="F052"/>
      </w:r>
      <w:r>
        <w:rPr>
          <w:rFonts w:ascii="宋体" w:hAnsi="宋体" w:eastAsia="宋体" w:cs="宋体"/>
          <w:sz w:val="24"/>
          <w:szCs w:val="24"/>
        </w:rPr>
        <w:t>不适用</w:t>
      </w:r>
    </w:p>
    <w:p>
      <w:pPr>
        <w:keepNext/>
        <w:keepLines/>
        <w:pageBreakBefore w:val="0"/>
        <w:widowControl w:val="0"/>
        <w:kinsoku/>
        <w:wordWrap/>
        <w:overflowPunct/>
        <w:topLinePunct w:val="0"/>
        <w:autoSpaceDE/>
        <w:autoSpaceDN/>
        <w:bidi w:val="0"/>
        <w:adjustRightInd w:val="0"/>
        <w:snapToGrid w:val="0"/>
        <w:spacing w:before="300" w:line="240" w:lineRule="auto"/>
        <w:jc w:val="left"/>
        <w:textAlignment w:val="auto"/>
        <w:outlineLvl w:val="1"/>
        <w:rPr>
          <w:rFonts w:hint="eastAsia" w:ascii="黑体" w:hAnsi="黑体" w:eastAsia="黑体" w:cs="黑体"/>
          <w:b w:val="0"/>
          <w:bCs w:val="0"/>
          <w:sz w:val="24"/>
          <w:szCs w:val="24"/>
        </w:rPr>
      </w:pPr>
      <w:bookmarkStart w:id="8" w:name="_Toc988897"/>
      <w:r>
        <w:rPr>
          <w:rFonts w:hint="eastAsia" w:ascii="黑体" w:hAnsi="黑体" w:eastAsia="黑体" w:cs="黑体"/>
          <w:b w:val="0"/>
          <w:bCs w:val="0"/>
          <w:sz w:val="24"/>
          <w:szCs w:val="24"/>
        </w:rPr>
        <w:t>三、重要事项</w:t>
      </w:r>
      <w:bookmarkEnd w:id="8"/>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一</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上半年重点经营工作</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1.聚焦改革创新提升，加快变革转型调整</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上半年，公司继续深化改革攻坚。全面完成数据中心、智能供应链等一期项目的收尾检视优化，实现全业态驾驶舱销售数据接入，完成仓储超市大小业态融合信息系统切换，智能供应链项目已上线45家仓储门店。财务共享中心、人力资源管控中心、线上用户端等二期项目按进度推进。探索开设精选店、邻里厨房、便利店+等新业态。实施二级公司经理层年薪制改革。推进供应链升级，实行商品库动态管理，同质化商品进一步瘦身。物流拓展三方业务，同比增长542%。全面预算管理取得一定成效，生产型企业产品链效益有所提升。</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2.聚焦发展质量提升，优化网点布局拓展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继续保持一定网点拓展规模，进一步优化网点布局，新增经营网点113家，关闭网点58家，净增网点55家。截至6月底，网点总数共有1594家。积极探索发展新业态，新开恩施和润城、宜昌方圆荟2家精选店。便利店深化五维加盟体系建设，加快在两湖地区二级市场拓展，加盟店占比达到75%。深化百货“一店一策”经营创新，推进品类调整升级，体验业态占比接近70%。参与一刻钟便民生活圈配套建设，推进经营业态创新，探索开设中百大厨房专卖店、邻里生鲜便利店，复制拓展“邻里生鲜升级版”39家。</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3.聚焦商品竞力提升，深挖经营创效能力</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推进仓储超市商品结构优化，商品汰换率14.12%，动销率超70%。直采商品、自有品牌商品销售占比提升到56.15%，销售、毛利实现双增长。生鲜商品寻源直采力度进一步加大，上半年基地采购金额占比71.09%。便利店继续保持自有新品开发力度，新品更新率超过65%。</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4.聚焦促销吸客提升，促进线上线下融合</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以上市25周年为契机，开展“礼惠荆楚”消费季营销活动，销售同比增长11.42%。承接湖北消费券发放启动仪式，同步推出系列主题促销活动，突出引流效果，激发消费潜力。持续深化与多点、美团、饿了么、淘鲜达、京东到家等三方平台业务合作，订单同比增长16%。优化自有平台功能，扩宽经营宽度，提升履约质量，“中百邻里购”销售同比增长771.38%，社区团购业务有所提升。上半年，公司线上业务实现销售同比上升23.28%。</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5.聚焦团购拓客提升，积极抢占市场份额</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上半年，公司实物团购销售同比增长11%。新设立武汉中百大厨房供应链有限公司，通过“商品+服务”双轮驱动，专业拓展食材大宗需求的供应链服务市场，销售同比增长31%。线上团购业务进一步拓展，销售超目标进度。</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6.聚焦项目支撑提升，推动产业协同发展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持续优化物流中央仓一期软硬件功能，全面提升系统信息同步及作业效率，效率同比提升11.32%。湖南冷链物流、面包工厂、盒饭工厂相继投产运营，全面完成区域配送及生产切换，为便利店业态在湖南区域快速发展提供了有力支撑。成立武汉百融资产运营有限公司，突出推进存量资产的开发利用和市场化运作，将近20万平方米物业资产项目运营权整合到该公司，由其承接内部物业托管、保洁消杀、废旧回收等业务，同时，探索提升商业资产运营能力。</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（二）其它重要事项</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建立健全公司长效激励机制，充分调动公司各级管理人员和核心骨干员工的积极性，将股东利益、公司利益和员工个人利益结合在一起，促进公司长期、持续、健康发展，公司拟筹划推出限制性股票激励计划事项，鉴于本次激励计划具体激励对象名单、人数、限制性股票授予价格、业绩考核指标等事项尚待公司与相关各方进行充分讨论沟通，本次筹划的激励计划事项 最终是否能顺利形成激励方案存在不确定性，公司将尽快就激励计划具体方案等事项进行研究。如最终确定实施股权激励计划，公司将及时披露本次拟进行的激励计划草案。（具体内容详见公司于2022年5月13日披露在巨潮资讯网的《关于筹划股权激励计划的提示性公告》公告编号：2022-024）</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rPr>
      </w:pPr>
    </w:p>
    <w:p>
      <w:pPr>
        <w:adjustRightInd w:val="0"/>
        <w:spacing w:line="360" w:lineRule="auto"/>
        <w:ind w:firstLine="600" w:firstLineChars="250"/>
        <w:jc w:val="right"/>
        <w:rPr>
          <w:rFonts w:asciiTheme="minorEastAsia" w:hAnsiTheme="minorEastAsia"/>
          <w:sz w:val="24"/>
          <w:szCs w:val="24"/>
        </w:rPr>
      </w:pPr>
      <w:r>
        <w:rPr>
          <w:rFonts w:asciiTheme="minorEastAsia" w:hAnsiTheme="minorEastAsia"/>
          <w:sz w:val="24"/>
          <w:szCs w:val="24"/>
        </w:rPr>
        <w:t>中百控股集团股份有限公司董事会</w:t>
      </w:r>
    </w:p>
    <w:p>
      <w:pPr>
        <w:adjustRightInd w:val="0"/>
        <w:spacing w:line="360" w:lineRule="auto"/>
        <w:ind w:right="480" w:firstLine="600" w:firstLineChars="250"/>
        <w:jc w:val="center"/>
        <w:rPr>
          <w:rFonts w:asciiTheme="minorEastAsia" w:hAnsiTheme="minorEastAsia"/>
          <w:sz w:val="24"/>
          <w:szCs w:val="24"/>
        </w:rPr>
      </w:pPr>
      <w:r>
        <w:rPr>
          <w:rFonts w:asciiTheme="minorEastAsia" w:hAnsiTheme="minorEastAsia"/>
          <w:sz w:val="24"/>
          <w:szCs w:val="24"/>
        </w:rPr>
        <w:t xml:space="preserve">                                                董事长：李军</w:t>
      </w:r>
    </w:p>
    <w:p>
      <w:pPr>
        <w:adjustRightInd w:val="0"/>
        <w:spacing w:line="360" w:lineRule="auto"/>
        <w:ind w:right="840" w:firstLine="600" w:firstLineChars="250"/>
        <w:jc w:val="right"/>
        <w:rPr>
          <w:rFonts w:asciiTheme="minorEastAsia" w:hAnsiTheme="minorEastAsia"/>
          <w:sz w:val="24"/>
          <w:szCs w:val="24"/>
        </w:rPr>
      </w:pPr>
      <w:r>
        <w:rPr>
          <w:kern w:val="0"/>
          <w:sz w:val="24"/>
        </w:rPr>
        <w:t>202</w:t>
      </w:r>
      <w:r>
        <w:rPr>
          <w:rFonts w:hint="eastAsia"/>
          <w:kern w:val="0"/>
          <w:sz w:val="24"/>
        </w:rPr>
        <w:t>2</w:t>
      </w:r>
      <w:r>
        <w:rPr>
          <w:kern w:val="0"/>
          <w:sz w:val="24"/>
        </w:rPr>
        <w:t>年</w:t>
      </w:r>
      <w:r>
        <w:rPr>
          <w:rFonts w:hint="eastAsia"/>
          <w:kern w:val="0"/>
          <w:sz w:val="24"/>
          <w:lang w:val="en-US" w:eastAsia="zh-CN"/>
        </w:rPr>
        <w:t>8</w:t>
      </w:r>
      <w:r>
        <w:rPr>
          <w:kern w:val="0"/>
          <w:sz w:val="24"/>
        </w:rPr>
        <w:t>月2</w:t>
      </w:r>
      <w:r>
        <w:rPr>
          <w:rFonts w:hint="eastAsia"/>
          <w:kern w:val="0"/>
          <w:sz w:val="24"/>
          <w:lang w:val="en-US" w:eastAsia="zh-CN"/>
        </w:rPr>
        <w:t>7</w:t>
      </w:r>
      <w:r>
        <w:rPr>
          <w:kern w:val="0"/>
          <w:sz w:val="24"/>
        </w:rPr>
        <w:t>日</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中百控股集团股份有限公司2022年半年度报告摘要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61F7338"/>
    <w:rsid w:val="1B062F2C"/>
    <w:rsid w:val="1F6842F9"/>
    <w:rsid w:val="2DCE3AC1"/>
    <w:rsid w:val="39B93671"/>
    <w:rsid w:val="43CE1B7F"/>
    <w:rsid w:val="4B2A660C"/>
    <w:rsid w:val="4BDD2629"/>
    <w:rsid w:val="4D335830"/>
    <w:rsid w:val="4FDA2238"/>
    <w:rsid w:val="5BF177E7"/>
    <w:rsid w:val="624F7EFD"/>
    <w:rsid w:val="62886ABD"/>
    <w:rsid w:val="65605ECF"/>
    <w:rsid w:val="6FCB2B5E"/>
    <w:rsid w:val="7B7116FF"/>
    <w:rsid w:val="7DAF2B43"/>
    <w:rsid w:val="7E694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Office_11.8.6.11021_F1E327BC-269C-435d-A152-05C5408002CA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2022-08-12T03:46:00Z</dcterms:created>
  <dc:creator>zbkgjt</dc:creator>
  <cp:lastModifiedBy>王茂</cp:lastModifiedBy>
  <dcterms:modified xsi:type="dcterms:W3CDTF">2022-08-26T07:34:29Z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0D3CD15E987747F0B62449C52B0BA6A2</vt:lpwstr>
  </property>
</Properties>
</file>