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tbl>
      <w:tblPr>
        <w:tblStyle w:val="7"/>
        <w:tblpPr w:leftFromText="180" w:rightFromText="180" w:vertAnchor="page" w:horzAnchor="margin" w:tblpXSpec="center" w:tblpY="3285"/>
        <w:tblW w:w="93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9" w:hRule="atLeast"/>
        </w:trPr>
        <w:tc>
          <w:tcPr>
            <w:tcW w:w="9322" w:type="dxa"/>
            <w:tcBorders>
              <w:top w:val="thinThickSmallGap" w:color="auto" w:sz="12" w:space="0"/>
              <w:left w:val="nil"/>
              <w:bottom w:val="thickThinSmallGap" w:color="auto" w:sz="12" w:space="0"/>
              <w:right w:val="nil"/>
            </w:tcBorders>
          </w:tcPr>
          <w:p>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0" w:firstLineChars="0"/>
              <w:jc w:val="center"/>
              <w:textAlignment w:val="auto"/>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北京天达共和（武汉）律师事务所</w:t>
            </w:r>
          </w:p>
          <w:p>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right="-443" w:rightChars="-211" w:firstLine="0" w:firstLineChars="0"/>
              <w:jc w:val="center"/>
              <w:textAlignment w:val="auto"/>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关于中百控股集团股份有限公司</w:t>
            </w:r>
            <w:r>
              <w:rPr>
                <w:rFonts w:ascii="楷体" w:hAnsi="楷体" w:eastAsia="楷体"/>
                <w:b/>
                <w:color w:val="000000" w:themeColor="text1"/>
                <w:sz w:val="32"/>
                <w:szCs w:val="32"/>
                <w14:textFill>
                  <w14:solidFill>
                    <w14:schemeClr w14:val="tx1"/>
                  </w14:solidFill>
                </w14:textFill>
              </w:rPr>
              <w:t>202</w:t>
            </w:r>
            <w:r>
              <w:rPr>
                <w:rFonts w:hint="default" w:ascii="楷体" w:hAnsi="楷体" w:eastAsia="楷体"/>
                <w:b/>
                <w:color w:val="000000" w:themeColor="text1"/>
                <w:sz w:val="32"/>
                <w:szCs w:val="32"/>
                <w:lang w:val="en-US"/>
                <w14:textFill>
                  <w14:solidFill>
                    <w14:schemeClr w14:val="tx1"/>
                  </w14:solidFill>
                </w14:textFill>
              </w:rPr>
              <w:t>2</w:t>
            </w:r>
            <w:r>
              <w:rPr>
                <w:rFonts w:ascii="楷体" w:hAnsi="楷体" w:eastAsia="楷体"/>
                <w:b/>
                <w:color w:val="000000" w:themeColor="text1"/>
                <w:sz w:val="32"/>
                <w:szCs w:val="32"/>
                <w14:textFill>
                  <w14:solidFill>
                    <w14:schemeClr w14:val="tx1"/>
                  </w14:solidFill>
                </w14:textFill>
              </w:rPr>
              <w:t>年第</w:t>
            </w:r>
            <w:r>
              <w:rPr>
                <w:rFonts w:hint="eastAsia" w:ascii="楷体" w:hAnsi="楷体" w:eastAsia="楷体"/>
                <w:b/>
                <w:color w:val="000000" w:themeColor="text1"/>
                <w:sz w:val="32"/>
                <w:szCs w:val="32"/>
                <w:lang w:eastAsia="zh-CN"/>
                <w14:textFill>
                  <w14:solidFill>
                    <w14:schemeClr w14:val="tx1"/>
                  </w14:solidFill>
                </w14:textFill>
              </w:rPr>
              <w:t>一</w:t>
            </w:r>
            <w:r>
              <w:rPr>
                <w:rFonts w:ascii="楷体" w:hAnsi="楷体" w:eastAsia="楷体"/>
                <w:b/>
                <w:color w:val="000000" w:themeColor="text1"/>
                <w:sz w:val="32"/>
                <w:szCs w:val="32"/>
                <w14:textFill>
                  <w14:solidFill>
                    <w14:schemeClr w14:val="tx1"/>
                  </w14:solidFill>
                </w14:textFill>
              </w:rPr>
              <w:t>次临时股东大会之</w:t>
            </w:r>
          </w:p>
          <w:p>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0" w:firstLineChars="0"/>
              <w:jc w:val="center"/>
              <w:textAlignment w:val="auto"/>
              <w:rPr>
                <w:rFonts w:ascii="楷体" w:hAnsi="楷体" w:eastAsia="楷体"/>
                <w:bCs/>
                <w:color w:val="000000" w:themeColor="text1"/>
                <w:sz w:val="24"/>
                <w:szCs w:val="24"/>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法律意见书</w:t>
            </w:r>
          </w:p>
        </w:tc>
      </w:tr>
    </w:tbl>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drawing>
          <wp:anchor distT="0" distB="0" distL="114300" distR="114300" simplePos="0" relativeHeight="251661312" behindDoc="0" locked="0" layoutInCell="1" allowOverlap="1">
            <wp:simplePos x="0" y="0"/>
            <wp:positionH relativeFrom="column">
              <wp:posOffset>2298700</wp:posOffset>
            </wp:positionH>
            <wp:positionV relativeFrom="paragraph">
              <wp:posOffset>164465</wp:posOffset>
            </wp:positionV>
            <wp:extent cx="766445" cy="665480"/>
            <wp:effectExtent l="0" t="0" r="0" b="127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66445" cy="665480"/>
                    </a:xfrm>
                    <a:prstGeom prst="rect">
                      <a:avLst/>
                    </a:prstGeom>
                    <a:noFill/>
                  </pic:spPr>
                </pic:pic>
              </a:graphicData>
            </a:graphic>
          </wp:anchor>
        </w:drawing>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562" w:firstLineChars="200"/>
        <w:jc w:val="center"/>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北京天达共和（武汉）律师事务所</w:t>
      </w:r>
    </w:p>
    <w:p>
      <w:pPr>
        <w:spacing w:before="156" w:beforeLines="50" w:after="156" w:afterLines="50" w:line="440" w:lineRule="exact"/>
        <w:ind w:firstLine="562" w:firstLineChars="200"/>
        <w:jc w:val="center"/>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二〇二</w:t>
      </w:r>
      <w:r>
        <w:rPr>
          <w:rFonts w:hint="eastAsia" w:ascii="楷体" w:hAnsi="楷体" w:eastAsia="楷体"/>
          <w:b/>
          <w:color w:val="000000" w:themeColor="text1"/>
          <w:sz w:val="28"/>
          <w:szCs w:val="28"/>
          <w:lang w:eastAsia="zh-CN"/>
          <w14:textFill>
            <w14:solidFill>
              <w14:schemeClr w14:val="tx1"/>
            </w14:solidFill>
          </w14:textFill>
        </w:rPr>
        <w:t>二</w:t>
      </w:r>
      <w:r>
        <w:rPr>
          <w:rFonts w:hint="eastAsia" w:ascii="楷体" w:hAnsi="楷体" w:eastAsia="楷体"/>
          <w:b/>
          <w:color w:val="000000" w:themeColor="text1"/>
          <w:sz w:val="28"/>
          <w:szCs w:val="28"/>
          <w14:textFill>
            <w14:solidFill>
              <w14:schemeClr w14:val="tx1"/>
            </w14:solidFill>
          </w14:textFill>
        </w:rPr>
        <w:t>年</w:t>
      </w:r>
      <w:r>
        <w:rPr>
          <w:rFonts w:hint="eastAsia" w:ascii="楷体" w:hAnsi="楷体" w:eastAsia="楷体"/>
          <w:b/>
          <w:color w:val="000000" w:themeColor="text1"/>
          <w:sz w:val="28"/>
          <w:szCs w:val="28"/>
          <w:lang w:eastAsia="zh-CN"/>
          <w14:textFill>
            <w14:solidFill>
              <w14:schemeClr w14:val="tx1"/>
            </w14:solidFill>
          </w14:textFill>
        </w:rPr>
        <w:t>五</w:t>
      </w:r>
      <w:r>
        <w:rPr>
          <w:rFonts w:hint="eastAsia" w:ascii="楷体" w:hAnsi="楷体" w:eastAsia="楷体"/>
          <w:b/>
          <w:color w:val="000000" w:themeColor="text1"/>
          <w:sz w:val="28"/>
          <w:szCs w:val="28"/>
          <w14:textFill>
            <w14:solidFill>
              <w14:schemeClr w14:val="tx1"/>
            </w14:solidFill>
          </w14:textFill>
        </w:rPr>
        <w:t>月</w:t>
      </w:r>
      <w:r>
        <w:rPr>
          <w:rFonts w:hint="eastAsia" w:ascii="楷体" w:hAnsi="楷体" w:eastAsia="楷体"/>
          <w:b/>
          <w:color w:val="000000" w:themeColor="text1"/>
          <w:sz w:val="28"/>
          <w:szCs w:val="28"/>
          <w:lang w:eastAsia="zh-CN"/>
          <w14:textFill>
            <w14:solidFill>
              <w14:schemeClr w14:val="tx1"/>
            </w14:solidFill>
          </w14:textFill>
        </w:rPr>
        <w:t>三十</w:t>
      </w:r>
      <w:r>
        <w:rPr>
          <w:rFonts w:hint="eastAsia" w:ascii="楷体" w:hAnsi="楷体" w:eastAsia="楷体"/>
          <w:b/>
          <w:color w:val="000000" w:themeColor="text1"/>
          <w:sz w:val="28"/>
          <w:szCs w:val="28"/>
          <w14:textFill>
            <w14:solidFill>
              <w14:schemeClr w14:val="tx1"/>
            </w14:solidFill>
          </w14:textFill>
        </w:rPr>
        <w:t>日</w:t>
      </w:r>
    </w:p>
    <w:p>
      <w:pPr>
        <w:spacing w:before="156" w:beforeLines="50" w:after="156" w:afterLines="50" w:line="440" w:lineRule="exact"/>
        <w:ind w:firstLine="562" w:firstLineChars="200"/>
        <w:jc w:val="center"/>
        <w:rPr>
          <w:rFonts w:ascii="楷体" w:hAnsi="楷体" w:eastAsia="楷体"/>
          <w:b/>
          <w:color w:val="000000" w:themeColor="text1"/>
          <w:sz w:val="28"/>
          <w:szCs w:val="28"/>
          <w14:textFill>
            <w14:solidFill>
              <w14:schemeClr w14:val="tx1"/>
            </w14:solidFill>
          </w14:textFill>
        </w:rPr>
      </w:pPr>
      <w:r>
        <w:rPr>
          <w:rFonts w:ascii="楷体" w:hAnsi="楷体" w:eastAsia="楷体"/>
          <w:b/>
          <w:color w:val="000000" w:themeColor="text1"/>
          <w:sz w:val="28"/>
          <w:szCs w:val="28"/>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firstLine="0" w:firstLineChars="0"/>
        <w:jc w:val="center"/>
        <w:textAlignment w:val="auto"/>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北京天达共和（武汉）律师事务所</w:t>
      </w:r>
    </w:p>
    <w:p>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firstLine="0" w:firstLineChars="0"/>
        <w:jc w:val="center"/>
        <w:textAlignment w:val="auto"/>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关于中百控股集团股份有限公司</w:t>
      </w:r>
      <w:r>
        <w:rPr>
          <w:rFonts w:ascii="楷体" w:hAnsi="楷体" w:eastAsia="楷体"/>
          <w:b/>
          <w:color w:val="000000" w:themeColor="text1"/>
          <w:sz w:val="28"/>
          <w:szCs w:val="28"/>
          <w14:textFill>
            <w14:solidFill>
              <w14:schemeClr w14:val="tx1"/>
            </w14:solidFill>
          </w14:textFill>
        </w:rPr>
        <w:t>202</w:t>
      </w:r>
      <w:r>
        <w:rPr>
          <w:rFonts w:hint="eastAsia" w:ascii="楷体" w:hAnsi="楷体" w:eastAsia="楷体"/>
          <w:b/>
          <w:color w:val="000000" w:themeColor="text1"/>
          <w:sz w:val="28"/>
          <w:szCs w:val="28"/>
          <w:lang w:val="en-US" w:eastAsia="zh-CN"/>
          <w14:textFill>
            <w14:solidFill>
              <w14:schemeClr w14:val="tx1"/>
            </w14:solidFill>
          </w14:textFill>
        </w:rPr>
        <w:t>2</w:t>
      </w:r>
      <w:r>
        <w:rPr>
          <w:rFonts w:ascii="楷体" w:hAnsi="楷体" w:eastAsia="楷体"/>
          <w:b/>
          <w:color w:val="000000" w:themeColor="text1"/>
          <w:sz w:val="28"/>
          <w:szCs w:val="28"/>
          <w14:textFill>
            <w14:solidFill>
              <w14:schemeClr w14:val="tx1"/>
            </w14:solidFill>
          </w14:textFill>
        </w:rPr>
        <w:t>年第</w:t>
      </w:r>
      <w:r>
        <w:rPr>
          <w:rFonts w:hint="eastAsia" w:ascii="楷体" w:hAnsi="楷体" w:eastAsia="楷体"/>
          <w:b/>
          <w:color w:val="000000" w:themeColor="text1"/>
          <w:sz w:val="28"/>
          <w:szCs w:val="28"/>
          <w:lang w:eastAsia="zh-CN"/>
          <w14:textFill>
            <w14:solidFill>
              <w14:schemeClr w14:val="tx1"/>
            </w14:solidFill>
          </w14:textFill>
        </w:rPr>
        <w:t>一</w:t>
      </w:r>
      <w:r>
        <w:rPr>
          <w:rFonts w:ascii="楷体" w:hAnsi="楷体" w:eastAsia="楷体"/>
          <w:b/>
          <w:color w:val="000000" w:themeColor="text1"/>
          <w:sz w:val="28"/>
          <w:szCs w:val="28"/>
          <w14:textFill>
            <w14:solidFill>
              <w14:schemeClr w14:val="tx1"/>
            </w14:solidFill>
          </w14:textFill>
        </w:rPr>
        <w:t>次临时股东大会</w:t>
      </w:r>
    </w:p>
    <w:p>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firstLine="0" w:firstLineChars="0"/>
        <w:jc w:val="center"/>
        <w:textAlignment w:val="auto"/>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之法律意见书</w:t>
      </w:r>
    </w:p>
    <w:p>
      <w:pPr>
        <w:spacing w:before="156" w:beforeLines="50" w:after="156" w:afterLines="50" w:line="440" w:lineRule="exact"/>
        <w:rPr>
          <w:rFonts w:ascii="楷体" w:hAnsi="楷体" w:eastAsia="楷体"/>
          <w:b/>
          <w:color w:val="000000" w:themeColor="text1"/>
          <w:sz w:val="24"/>
          <w:szCs w:val="24"/>
          <w14:textFill>
            <w14:solidFill>
              <w14:schemeClr w14:val="tx1"/>
            </w14:solidFill>
          </w14:textFill>
        </w:rPr>
      </w:pPr>
      <w:r>
        <w:rPr>
          <w:rFonts w:hint="eastAsia" w:ascii="楷体" w:hAnsi="楷体" w:eastAsia="楷体"/>
          <w:b/>
          <w:color w:val="000000" w:themeColor="text1"/>
          <w:sz w:val="24"/>
          <w:szCs w:val="24"/>
          <w14:textFill>
            <w14:solidFill>
              <w14:schemeClr w14:val="tx1"/>
            </w14:solidFill>
          </w14:textFill>
        </w:rPr>
        <w:t>致：中百控股集团股份有限公司</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北京天达共和（武汉）律师事务所（以下简称“本所”）接受中百控股集团股份有限公司（以下简称“公司”）的委托，指派本所</w:t>
      </w:r>
      <w:r>
        <w:rPr>
          <w:rFonts w:hint="eastAsia" w:ascii="楷体" w:hAnsi="楷体" w:eastAsia="楷体"/>
          <w:bCs/>
          <w:color w:val="000000" w:themeColor="text1"/>
          <w:sz w:val="24"/>
          <w:szCs w:val="24"/>
          <w:lang w:eastAsia="zh-CN"/>
          <w14:textFill>
            <w14:solidFill>
              <w14:schemeClr w14:val="tx1"/>
            </w14:solidFill>
          </w14:textFill>
        </w:rPr>
        <w:t>桂婷婷</w:t>
      </w:r>
      <w:r>
        <w:rPr>
          <w:rFonts w:hint="eastAsia" w:ascii="楷体" w:hAnsi="楷体" w:eastAsia="楷体"/>
          <w:bCs/>
          <w:color w:val="000000" w:themeColor="text1"/>
          <w:sz w:val="24"/>
          <w:szCs w:val="24"/>
          <w14:textFill>
            <w14:solidFill>
              <w14:schemeClr w14:val="tx1"/>
            </w14:solidFill>
          </w14:textFill>
        </w:rPr>
        <w:t>律师、</w:t>
      </w:r>
      <w:r>
        <w:rPr>
          <w:rFonts w:hint="eastAsia" w:ascii="楷体" w:hAnsi="楷体" w:eastAsia="楷体"/>
          <w:bCs/>
          <w:color w:val="000000" w:themeColor="text1"/>
          <w:sz w:val="24"/>
          <w:szCs w:val="24"/>
          <w:lang w:eastAsia="zh-CN"/>
          <w14:textFill>
            <w14:solidFill>
              <w14:schemeClr w14:val="tx1"/>
            </w14:solidFill>
          </w14:textFill>
        </w:rPr>
        <w:t>刘薇</w:t>
      </w:r>
      <w:r>
        <w:rPr>
          <w:rFonts w:hint="eastAsia" w:ascii="楷体" w:hAnsi="楷体" w:eastAsia="楷体"/>
          <w:bCs/>
          <w:color w:val="000000" w:themeColor="text1"/>
          <w:sz w:val="24"/>
          <w:szCs w:val="24"/>
          <w14:textFill>
            <w14:solidFill>
              <w14:schemeClr w14:val="tx1"/>
            </w14:solidFill>
          </w14:textFill>
        </w:rPr>
        <w:t>律师出席公司</w:t>
      </w:r>
      <w:r>
        <w:rPr>
          <w:rFonts w:ascii="楷体" w:hAnsi="楷体" w:eastAsia="楷体"/>
          <w:bCs/>
          <w:color w:val="000000" w:themeColor="text1"/>
          <w:sz w:val="24"/>
          <w:szCs w:val="24"/>
          <w14:textFill>
            <w14:solidFill>
              <w14:schemeClr w14:val="tx1"/>
            </w14:solidFill>
          </w14:textFill>
        </w:rPr>
        <w:t>202</w:t>
      </w:r>
      <w:r>
        <w:rPr>
          <w:rFonts w:hint="eastAsia" w:ascii="楷体" w:hAnsi="楷体" w:eastAsia="楷体"/>
          <w:bCs/>
          <w:color w:val="000000" w:themeColor="text1"/>
          <w:sz w:val="24"/>
          <w:szCs w:val="24"/>
          <w:lang w:val="en-US" w:eastAsia="zh-CN"/>
          <w14:textFill>
            <w14:solidFill>
              <w14:schemeClr w14:val="tx1"/>
            </w14:solidFill>
          </w14:textFill>
        </w:rPr>
        <w:t>2</w:t>
      </w:r>
      <w:r>
        <w:rPr>
          <w:rFonts w:ascii="楷体" w:hAnsi="楷体" w:eastAsia="楷体"/>
          <w:bCs/>
          <w:color w:val="000000" w:themeColor="text1"/>
          <w:sz w:val="24"/>
          <w:szCs w:val="24"/>
          <w14:textFill>
            <w14:solidFill>
              <w14:schemeClr w14:val="tx1"/>
            </w14:solidFill>
          </w14:textFill>
        </w:rPr>
        <w:t>年第</w:t>
      </w:r>
      <w:r>
        <w:rPr>
          <w:rFonts w:hint="eastAsia" w:ascii="楷体" w:hAnsi="楷体" w:eastAsia="楷体"/>
          <w:bCs/>
          <w:color w:val="000000" w:themeColor="text1"/>
          <w:sz w:val="24"/>
          <w:szCs w:val="24"/>
          <w:lang w:eastAsia="zh-CN"/>
          <w14:textFill>
            <w14:solidFill>
              <w14:schemeClr w14:val="tx1"/>
            </w14:solidFill>
          </w14:textFill>
        </w:rPr>
        <w:t>一</w:t>
      </w:r>
      <w:r>
        <w:rPr>
          <w:rFonts w:ascii="楷体" w:hAnsi="楷体" w:eastAsia="楷体"/>
          <w:bCs/>
          <w:color w:val="000000" w:themeColor="text1"/>
          <w:sz w:val="24"/>
          <w:szCs w:val="24"/>
          <w14:textFill>
            <w14:solidFill>
              <w14:schemeClr w14:val="tx1"/>
            </w14:solidFill>
          </w14:textFill>
        </w:rPr>
        <w:t>次临时股东大会（以下简称“本次临时股东大会”），依据《中华人民共和国公司法》（以下简称“《公司法》”）、《中华人民共和国证券法》（以下简称“《证券法》”）、《上市公司信息披露管理办法》等法律、法规和其他规范性文件以及《中百控股集团股份有限公司章程》（以下简称“《公司章程》”）、《中百控股集团股份有限公司股东大会</w:t>
      </w:r>
      <w:r>
        <w:rPr>
          <w:rFonts w:hint="eastAsia" w:ascii="楷体" w:hAnsi="楷体" w:eastAsia="楷体"/>
          <w:bCs/>
          <w:color w:val="000000" w:themeColor="text1"/>
          <w:sz w:val="24"/>
          <w:szCs w:val="24"/>
          <w:lang w:eastAsia="zh-CN"/>
          <w14:textFill>
            <w14:solidFill>
              <w14:schemeClr w14:val="tx1"/>
            </w14:solidFill>
          </w14:textFill>
        </w:rPr>
        <w:t>议事</w:t>
      </w:r>
      <w:r>
        <w:rPr>
          <w:rFonts w:ascii="楷体" w:hAnsi="楷体" w:eastAsia="楷体"/>
          <w:bCs/>
          <w:color w:val="000000" w:themeColor="text1"/>
          <w:sz w:val="24"/>
          <w:szCs w:val="24"/>
          <w14:textFill>
            <w14:solidFill>
              <w14:schemeClr w14:val="tx1"/>
            </w14:solidFill>
          </w14:textFill>
        </w:rPr>
        <w:t>规则》（以下简称“《股东大会</w:t>
      </w:r>
      <w:r>
        <w:rPr>
          <w:rFonts w:hint="eastAsia" w:ascii="楷体" w:hAnsi="楷体" w:eastAsia="楷体"/>
          <w:bCs/>
          <w:color w:val="000000" w:themeColor="text1"/>
          <w:sz w:val="24"/>
          <w:szCs w:val="24"/>
          <w:lang w:eastAsia="zh-CN"/>
          <w14:textFill>
            <w14:solidFill>
              <w14:schemeClr w14:val="tx1"/>
            </w14:solidFill>
          </w14:textFill>
        </w:rPr>
        <w:t>议事</w:t>
      </w:r>
      <w:r>
        <w:rPr>
          <w:rFonts w:ascii="楷体" w:hAnsi="楷体" w:eastAsia="楷体"/>
          <w:bCs/>
          <w:color w:val="000000" w:themeColor="text1"/>
          <w:sz w:val="24"/>
          <w:szCs w:val="24"/>
          <w14:textFill>
            <w14:solidFill>
              <w14:schemeClr w14:val="tx1"/>
            </w14:solidFill>
          </w14:textFill>
        </w:rPr>
        <w:t>规则》”）的有关规定，就公司本次临时股东大会的召集召开程序、召集人资格、出席和列席会议的人员资格、会议的表决程序和表决结果及公司要求的相关事项进行见证，并出具本法律意见书。</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公司已向本所保证，公司已提供了本所律师认为出具本法律意见书所必需的材料，所提供的原始材料、副本、复印件等材料</w:t>
      </w:r>
      <w:r>
        <w:rPr>
          <w:rFonts w:hint="eastAsia" w:ascii="楷体" w:hAnsi="楷体" w:eastAsia="楷体"/>
          <w:bCs/>
          <w:color w:val="000000" w:themeColor="text1"/>
          <w:sz w:val="24"/>
          <w:szCs w:val="24"/>
          <w:lang w:eastAsia="zh-CN"/>
          <w14:textFill>
            <w14:solidFill>
              <w14:schemeClr w14:val="tx1"/>
            </w14:solidFill>
          </w14:textFill>
        </w:rPr>
        <w:t>，</w:t>
      </w:r>
      <w:r>
        <w:rPr>
          <w:rFonts w:ascii="楷体" w:hAnsi="楷体" w:eastAsia="楷体"/>
          <w:bCs/>
          <w:color w:val="000000" w:themeColor="text1"/>
          <w:sz w:val="24"/>
          <w:szCs w:val="24"/>
          <w14:textFill>
            <w14:solidFill>
              <w14:schemeClr w14:val="tx1"/>
            </w14:solidFill>
          </w14:textFill>
        </w:rPr>
        <w:t>口头证言均符合真实、准确、完整的要求，有关副本、复印件等材料与原始材料一致。</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在出具本法律意见书之前，本所律师作如下声明：</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1.本所律师依据本法律意见书出具日以前已经发生或存在的事实和我国现行法律、法规以及中国证监会的有关规定发表法律意见。</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2.本所律师已履行法定职责，遵循勤勉尽责和诚实信用原则，对本法律意见书所涉事宜进行了核查验证，保证本法律意见书不存在虚假记载、误导性陈述及重大遗漏。</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3.本所律师已经对与出具本法律意见书有关的所有文件资料进行审查判断，并据此发表法律意见，但并不对本次临时股东大会审议的议案以及其他与议案相关的事实、数据的真实性及准确性发表意见。</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鉴此，本所律师根据上述法律、法规、规章及规范性文件的要求，按照律师行业公认的业务标准、道德规范和勤勉尽责精神，现出具法律意见如下：</w:t>
      </w:r>
      <w:r>
        <w:rPr>
          <w:rFonts w:ascii="楷体" w:hAnsi="楷体" w:eastAsia="楷体"/>
          <w:bCs/>
          <w:color w:val="000000" w:themeColor="text1"/>
          <w:sz w:val="24"/>
          <w:szCs w:val="24"/>
          <w14:textFill>
            <w14:solidFill>
              <w14:schemeClr w14:val="tx1"/>
            </w14:solidFill>
          </w14:textFill>
        </w:rPr>
        <w:t xml:space="preserve"> </w:t>
      </w: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r>
        <w:rPr>
          <w:rFonts w:hint="eastAsia" w:ascii="楷体" w:hAnsi="楷体" w:eastAsia="楷体"/>
          <w:b/>
          <w:color w:val="000000" w:themeColor="text1"/>
          <w:sz w:val="24"/>
          <w:szCs w:val="24"/>
          <w14:textFill>
            <w14:solidFill>
              <w14:schemeClr w14:val="tx1"/>
            </w14:solidFill>
          </w14:textFill>
        </w:rPr>
        <w:t>一、本次临时股东大会的召集召开程序</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1.本次临时股东大会的召集</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本次临时股东大会经公司第</w:t>
      </w:r>
      <w:r>
        <w:rPr>
          <w:rFonts w:hint="eastAsia" w:ascii="楷体" w:hAnsi="楷体" w:eastAsia="楷体"/>
          <w:bCs/>
          <w:color w:val="000000" w:themeColor="text1"/>
          <w:sz w:val="24"/>
          <w:szCs w:val="24"/>
          <w:lang w:eastAsia="zh-CN"/>
          <w14:textFill>
            <w14:solidFill>
              <w14:schemeClr w14:val="tx1"/>
            </w14:solidFill>
          </w14:textFill>
        </w:rPr>
        <w:t>十</w:t>
      </w:r>
      <w:r>
        <w:rPr>
          <w:rFonts w:hint="eastAsia" w:ascii="楷体" w:hAnsi="楷体" w:eastAsia="楷体"/>
          <w:bCs/>
          <w:color w:val="000000" w:themeColor="text1"/>
          <w:sz w:val="24"/>
          <w:szCs w:val="24"/>
          <w14:textFill>
            <w14:solidFill>
              <w14:schemeClr w14:val="tx1"/>
            </w14:solidFill>
          </w14:textFill>
        </w:rPr>
        <w:t>届董事会第</w:t>
      </w:r>
      <w:r>
        <w:rPr>
          <w:rFonts w:hint="eastAsia" w:ascii="楷体" w:hAnsi="楷体" w:eastAsia="楷体"/>
          <w:bCs/>
          <w:color w:val="000000" w:themeColor="text1"/>
          <w:sz w:val="24"/>
          <w:szCs w:val="24"/>
          <w:lang w:eastAsia="zh-CN"/>
          <w14:textFill>
            <w14:solidFill>
              <w14:schemeClr w14:val="tx1"/>
            </w14:solidFill>
          </w14:textFill>
        </w:rPr>
        <w:t>十一</w:t>
      </w:r>
      <w:r>
        <w:rPr>
          <w:rFonts w:hint="eastAsia" w:ascii="楷体" w:hAnsi="楷体" w:eastAsia="楷体"/>
          <w:bCs/>
          <w:color w:val="000000" w:themeColor="text1"/>
          <w:sz w:val="24"/>
          <w:szCs w:val="24"/>
          <w14:textFill>
            <w14:solidFill>
              <w14:schemeClr w14:val="tx1"/>
            </w14:solidFill>
          </w14:textFill>
        </w:rPr>
        <w:t>次会议审议决议，由公司第</w:t>
      </w:r>
      <w:r>
        <w:rPr>
          <w:rFonts w:hint="eastAsia" w:ascii="楷体" w:hAnsi="楷体" w:eastAsia="楷体"/>
          <w:bCs/>
          <w:color w:val="000000" w:themeColor="text1"/>
          <w:sz w:val="24"/>
          <w:szCs w:val="24"/>
          <w:lang w:eastAsia="zh-CN"/>
          <w14:textFill>
            <w14:solidFill>
              <w14:schemeClr w14:val="tx1"/>
            </w14:solidFill>
          </w14:textFill>
        </w:rPr>
        <w:t>十</w:t>
      </w:r>
      <w:r>
        <w:rPr>
          <w:rFonts w:hint="eastAsia" w:ascii="楷体" w:hAnsi="楷体" w:eastAsia="楷体"/>
          <w:bCs/>
          <w:color w:val="000000" w:themeColor="text1"/>
          <w:sz w:val="24"/>
          <w:szCs w:val="24"/>
          <w14:textFill>
            <w14:solidFill>
              <w14:schemeClr w14:val="tx1"/>
            </w14:solidFill>
          </w14:textFill>
        </w:rPr>
        <w:t>届董事会召集，符合《公司法》、《</w:t>
      </w:r>
      <w:r>
        <w:rPr>
          <w:rFonts w:hint="eastAsia" w:ascii="楷体" w:hAnsi="楷体" w:eastAsia="楷体"/>
          <w:bCs/>
          <w:color w:val="000000" w:themeColor="text1"/>
          <w:sz w:val="24"/>
          <w:szCs w:val="24"/>
          <w:lang w:eastAsia="zh-CN"/>
          <w14:textFill>
            <w14:solidFill>
              <w14:schemeClr w14:val="tx1"/>
            </w14:solidFill>
          </w14:textFill>
        </w:rPr>
        <w:t>股东大会议事规则</w:t>
      </w:r>
      <w:r>
        <w:rPr>
          <w:rFonts w:hint="eastAsia" w:ascii="楷体" w:hAnsi="楷体" w:eastAsia="楷体"/>
          <w:bCs/>
          <w:color w:val="000000" w:themeColor="text1"/>
          <w:sz w:val="24"/>
          <w:szCs w:val="24"/>
          <w14:textFill>
            <w14:solidFill>
              <w14:schemeClr w14:val="tx1"/>
            </w14:solidFill>
          </w14:textFill>
        </w:rPr>
        <w:t>》及《公司章程》的规定，合法有效。</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2.本次临时股东大会的通知</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公司已于</w:t>
      </w:r>
      <w:r>
        <w:rPr>
          <w:rFonts w:ascii="楷体" w:hAnsi="楷体" w:eastAsia="楷体"/>
          <w:bCs/>
          <w:color w:val="000000" w:themeColor="text1"/>
          <w:sz w:val="24"/>
          <w:szCs w:val="24"/>
          <w14:textFill>
            <w14:solidFill>
              <w14:schemeClr w14:val="tx1"/>
            </w14:solidFill>
          </w14:textFill>
        </w:rPr>
        <w:t>202</w:t>
      </w:r>
      <w:r>
        <w:rPr>
          <w:rFonts w:hint="eastAsia" w:ascii="楷体" w:hAnsi="楷体" w:eastAsia="楷体"/>
          <w:bCs/>
          <w:color w:val="000000" w:themeColor="text1"/>
          <w:sz w:val="24"/>
          <w:szCs w:val="24"/>
          <w:lang w:val="en-US" w:eastAsia="zh-CN"/>
          <w14:textFill>
            <w14:solidFill>
              <w14:schemeClr w14:val="tx1"/>
            </w14:solidFill>
          </w14:textFill>
        </w:rPr>
        <w:t>2</w:t>
      </w:r>
      <w:r>
        <w:rPr>
          <w:rFonts w:ascii="楷体" w:hAnsi="楷体" w:eastAsia="楷体"/>
          <w:bCs/>
          <w:color w:val="000000" w:themeColor="text1"/>
          <w:sz w:val="24"/>
          <w:szCs w:val="24"/>
          <w14:textFill>
            <w14:solidFill>
              <w14:schemeClr w14:val="tx1"/>
            </w14:solidFill>
          </w14:textFill>
        </w:rPr>
        <w:t>年</w:t>
      </w:r>
      <w:r>
        <w:rPr>
          <w:rFonts w:hint="eastAsia" w:ascii="楷体" w:hAnsi="楷体" w:eastAsia="楷体"/>
          <w:bCs/>
          <w:color w:val="000000" w:themeColor="text1"/>
          <w:sz w:val="24"/>
          <w:szCs w:val="24"/>
          <w:lang w:val="en-US" w:eastAsia="zh-CN"/>
          <w14:textFill>
            <w14:solidFill>
              <w14:schemeClr w14:val="tx1"/>
            </w14:solidFill>
          </w14:textFill>
        </w:rPr>
        <w:t>5</w:t>
      </w:r>
      <w:r>
        <w:rPr>
          <w:rFonts w:hint="eastAsia" w:ascii="楷体" w:hAnsi="楷体" w:eastAsia="楷体"/>
          <w:bCs/>
          <w:color w:val="000000" w:themeColor="text1"/>
          <w:sz w:val="24"/>
          <w:szCs w:val="24"/>
          <w14:textFill>
            <w14:solidFill>
              <w14:schemeClr w14:val="tx1"/>
            </w14:solidFill>
          </w14:textFill>
        </w:rPr>
        <w:t>月</w:t>
      </w:r>
      <w:r>
        <w:rPr>
          <w:rFonts w:hint="eastAsia" w:ascii="楷体" w:hAnsi="楷体" w:eastAsia="楷体"/>
          <w:bCs/>
          <w:color w:val="000000" w:themeColor="text1"/>
          <w:sz w:val="24"/>
          <w:szCs w:val="24"/>
          <w:lang w:val="en-US" w:eastAsia="zh-CN"/>
          <w14:textFill>
            <w14:solidFill>
              <w14:schemeClr w14:val="tx1"/>
            </w14:solidFill>
          </w14:textFill>
        </w:rPr>
        <w:t>13</w:t>
      </w:r>
      <w:r>
        <w:rPr>
          <w:rFonts w:hint="eastAsia" w:ascii="楷体" w:hAnsi="楷体" w:eastAsia="楷体"/>
          <w:bCs/>
          <w:color w:val="000000" w:themeColor="text1"/>
          <w:sz w:val="24"/>
          <w:szCs w:val="24"/>
          <w14:textFill>
            <w14:solidFill>
              <w14:schemeClr w14:val="tx1"/>
            </w14:solidFill>
          </w14:textFill>
        </w:rPr>
        <w:t>日，在深圳证券交易所系统指定的信息披露平台（</w:t>
      </w:r>
      <w:r>
        <w:rPr>
          <w:rFonts w:ascii="楷体" w:hAnsi="楷体" w:eastAsia="楷体"/>
          <w:bCs/>
          <w:color w:val="000000" w:themeColor="text1"/>
          <w:sz w:val="24"/>
          <w:szCs w:val="24"/>
          <w14:textFill>
            <w14:solidFill>
              <w14:schemeClr w14:val="tx1"/>
            </w14:solidFill>
          </w14:textFill>
        </w:rPr>
        <w:t>http://www.szse.cn/index/index.html）刊登了《中百控股集团股份有限公司关于召开</w:t>
      </w:r>
      <w:r>
        <w:rPr>
          <w:rFonts w:hint="eastAsia" w:ascii="楷体" w:hAnsi="楷体" w:eastAsia="楷体"/>
          <w:bCs/>
          <w:color w:val="000000" w:themeColor="text1"/>
          <w:sz w:val="24"/>
          <w:szCs w:val="24"/>
          <w:lang w:val="en-US" w:eastAsia="zh-CN"/>
          <w14:textFill>
            <w14:solidFill>
              <w14:schemeClr w14:val="tx1"/>
            </w14:solidFill>
          </w14:textFill>
        </w:rPr>
        <w:t>2022</w:t>
      </w:r>
      <w:r>
        <w:rPr>
          <w:rFonts w:hint="eastAsia" w:ascii="楷体" w:hAnsi="楷体" w:eastAsia="楷体"/>
          <w:bCs/>
          <w:color w:val="000000" w:themeColor="text1"/>
          <w:sz w:val="24"/>
          <w:szCs w:val="24"/>
          <w14:textFill>
            <w14:solidFill>
              <w14:schemeClr w14:val="tx1"/>
            </w14:solidFill>
          </w14:textFill>
        </w:rPr>
        <w:t>年第</w:t>
      </w:r>
      <w:r>
        <w:rPr>
          <w:rFonts w:hint="eastAsia" w:ascii="楷体" w:hAnsi="楷体" w:eastAsia="楷体"/>
          <w:bCs/>
          <w:color w:val="000000" w:themeColor="text1"/>
          <w:sz w:val="24"/>
          <w:szCs w:val="24"/>
          <w:lang w:eastAsia="zh-CN"/>
          <w14:textFill>
            <w14:solidFill>
              <w14:schemeClr w14:val="tx1"/>
            </w14:solidFill>
          </w14:textFill>
        </w:rPr>
        <w:t>一</w:t>
      </w:r>
      <w:r>
        <w:rPr>
          <w:rFonts w:hint="eastAsia" w:ascii="楷体" w:hAnsi="楷体" w:eastAsia="楷体"/>
          <w:bCs/>
          <w:color w:val="000000" w:themeColor="text1"/>
          <w:sz w:val="24"/>
          <w:szCs w:val="24"/>
          <w14:textFill>
            <w14:solidFill>
              <w14:schemeClr w14:val="tx1"/>
            </w14:solidFill>
          </w14:textFill>
        </w:rPr>
        <w:t>次临时股东大会的通知》（公告编号：</w:t>
      </w:r>
      <w:r>
        <w:rPr>
          <w:rFonts w:ascii="楷体" w:hAnsi="楷体" w:eastAsia="楷体"/>
          <w:bCs/>
          <w:color w:val="000000" w:themeColor="text1"/>
          <w:sz w:val="24"/>
          <w:szCs w:val="24"/>
          <w14:textFill>
            <w14:solidFill>
              <w14:schemeClr w14:val="tx1"/>
            </w14:solidFill>
          </w14:textFill>
        </w:rPr>
        <w:t>202</w:t>
      </w:r>
      <w:r>
        <w:rPr>
          <w:rFonts w:hint="eastAsia" w:ascii="楷体" w:hAnsi="楷体" w:eastAsia="楷体"/>
          <w:bCs/>
          <w:color w:val="000000" w:themeColor="text1"/>
          <w:sz w:val="24"/>
          <w:szCs w:val="24"/>
          <w:lang w:val="en-US" w:eastAsia="zh-CN"/>
          <w14:textFill>
            <w14:solidFill>
              <w14:schemeClr w14:val="tx1"/>
            </w14:solidFill>
          </w14:textFill>
        </w:rPr>
        <w:t>2-022</w:t>
      </w:r>
      <w:r>
        <w:rPr>
          <w:rFonts w:ascii="楷体" w:hAnsi="楷体" w:eastAsia="楷体"/>
          <w:bCs/>
          <w:color w:val="000000" w:themeColor="text1"/>
          <w:sz w:val="24"/>
          <w:szCs w:val="24"/>
          <w14:textFill>
            <w14:solidFill>
              <w14:schemeClr w14:val="tx1"/>
            </w14:solidFill>
          </w14:textFill>
        </w:rPr>
        <w:t>，以下简称“临时股东大会通知”）。</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临时股东大会通知就本次临时股东大会的召集人、会议召开方式、会议召开时间、会议出席对象、会议地点、会议审议事项、会议登记方法、会议联系人和联系方式及可委托代理人出席会议并参加表决的权利等事项以公告的形式通知了全体股东。</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本所律师认为，公司本次临时股东大会已于会议召开前十五日以公告方式通知各股东，符合《公司法》、《</w:t>
      </w:r>
      <w:r>
        <w:rPr>
          <w:rFonts w:ascii="楷体" w:hAnsi="楷体" w:eastAsia="楷体"/>
          <w:bCs/>
          <w:color w:val="000000" w:themeColor="text1"/>
          <w:sz w:val="24"/>
          <w:szCs w:val="24"/>
          <w14:textFill>
            <w14:solidFill>
              <w14:schemeClr w14:val="tx1"/>
            </w14:solidFill>
          </w14:textFill>
        </w:rPr>
        <w:t>股东大会</w:t>
      </w:r>
      <w:r>
        <w:rPr>
          <w:rFonts w:hint="eastAsia" w:ascii="楷体" w:hAnsi="楷体" w:eastAsia="楷体"/>
          <w:bCs/>
          <w:color w:val="000000" w:themeColor="text1"/>
          <w:sz w:val="24"/>
          <w:szCs w:val="24"/>
          <w:lang w:eastAsia="zh-CN"/>
          <w14:textFill>
            <w14:solidFill>
              <w14:schemeClr w14:val="tx1"/>
            </w14:solidFill>
          </w14:textFill>
        </w:rPr>
        <w:t>议事</w:t>
      </w:r>
      <w:r>
        <w:rPr>
          <w:rFonts w:ascii="楷体" w:hAnsi="楷体" w:eastAsia="楷体"/>
          <w:bCs/>
          <w:color w:val="000000" w:themeColor="text1"/>
          <w:sz w:val="24"/>
          <w:szCs w:val="24"/>
          <w14:textFill>
            <w14:solidFill>
              <w14:schemeClr w14:val="tx1"/>
            </w14:solidFill>
          </w14:textFill>
        </w:rPr>
        <w:t>规则</w:t>
      </w:r>
      <w:r>
        <w:rPr>
          <w:rFonts w:hint="eastAsia" w:ascii="楷体" w:hAnsi="楷体" w:eastAsia="楷体"/>
          <w:bCs/>
          <w:color w:val="000000" w:themeColor="text1"/>
          <w:sz w:val="24"/>
          <w:szCs w:val="24"/>
          <w14:textFill>
            <w14:solidFill>
              <w14:schemeClr w14:val="tx1"/>
            </w14:solidFill>
          </w14:textFill>
        </w:rPr>
        <w:t>》和《公司章程》的规定。</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3.本次临时股东大会的提案</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本次董事会提交股东大会审议的议案包括：</w:t>
      </w:r>
    </w:p>
    <w:p>
      <w:pPr>
        <w:numPr>
          <w:ilvl w:val="0"/>
          <w:numId w:val="1"/>
        </w:num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《关于第一大股东延长股权激励承诺履行期限的议案》</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经核查，本次临时股东大会审议事项的具体内容，与董事会于</w:t>
      </w:r>
      <w:r>
        <w:rPr>
          <w:rFonts w:ascii="楷体" w:hAnsi="楷体" w:eastAsia="楷体"/>
          <w:bCs/>
          <w:color w:val="000000" w:themeColor="text1"/>
          <w:sz w:val="24"/>
          <w:szCs w:val="24"/>
          <w14:textFill>
            <w14:solidFill>
              <w14:schemeClr w14:val="tx1"/>
            </w14:solidFill>
          </w14:textFill>
        </w:rPr>
        <w:t>20</w:t>
      </w:r>
      <w:r>
        <w:rPr>
          <w:rFonts w:hint="eastAsia" w:ascii="楷体" w:hAnsi="楷体" w:eastAsia="楷体"/>
          <w:bCs/>
          <w:color w:val="000000" w:themeColor="text1"/>
          <w:sz w:val="24"/>
          <w:szCs w:val="24"/>
          <w:lang w:val="en-US" w:eastAsia="zh-CN"/>
          <w14:textFill>
            <w14:solidFill>
              <w14:schemeClr w14:val="tx1"/>
            </w14:solidFill>
          </w14:textFill>
        </w:rPr>
        <w:t>22</w:t>
      </w:r>
      <w:r>
        <w:rPr>
          <w:rFonts w:ascii="楷体" w:hAnsi="楷体" w:eastAsia="楷体"/>
          <w:bCs/>
          <w:color w:val="000000" w:themeColor="text1"/>
          <w:sz w:val="24"/>
          <w:szCs w:val="24"/>
          <w14:textFill>
            <w14:solidFill>
              <w14:schemeClr w14:val="tx1"/>
            </w14:solidFill>
          </w14:textFill>
        </w:rPr>
        <w:t>年</w:t>
      </w:r>
      <w:r>
        <w:rPr>
          <w:rFonts w:hint="eastAsia" w:ascii="楷体" w:hAnsi="楷体" w:eastAsia="楷体"/>
          <w:bCs/>
          <w:color w:val="000000" w:themeColor="text1"/>
          <w:sz w:val="24"/>
          <w:szCs w:val="24"/>
          <w:lang w:val="en-US" w:eastAsia="zh-CN"/>
          <w14:textFill>
            <w14:solidFill>
              <w14:schemeClr w14:val="tx1"/>
            </w14:solidFill>
          </w14:textFill>
        </w:rPr>
        <w:t>5</w:t>
      </w:r>
      <w:r>
        <w:rPr>
          <w:rFonts w:hint="eastAsia" w:ascii="楷体" w:hAnsi="楷体" w:eastAsia="楷体"/>
          <w:bCs/>
          <w:color w:val="000000" w:themeColor="text1"/>
          <w:sz w:val="24"/>
          <w:szCs w:val="24"/>
          <w14:textFill>
            <w14:solidFill>
              <w14:schemeClr w14:val="tx1"/>
            </w14:solidFill>
          </w14:textFill>
        </w:rPr>
        <w:t>月</w:t>
      </w:r>
      <w:r>
        <w:rPr>
          <w:rFonts w:hint="eastAsia" w:ascii="楷体" w:hAnsi="楷体" w:eastAsia="楷体"/>
          <w:bCs/>
          <w:color w:val="000000" w:themeColor="text1"/>
          <w:sz w:val="24"/>
          <w:szCs w:val="24"/>
          <w:lang w:val="en-US" w:eastAsia="zh-CN"/>
          <w14:textFill>
            <w14:solidFill>
              <w14:schemeClr w14:val="tx1"/>
            </w14:solidFill>
          </w14:textFill>
        </w:rPr>
        <w:t>13</w:t>
      </w:r>
      <w:r>
        <w:rPr>
          <w:rFonts w:hint="eastAsia" w:ascii="楷体" w:hAnsi="楷体" w:eastAsia="楷体"/>
          <w:bCs/>
          <w:color w:val="000000" w:themeColor="text1"/>
          <w:sz w:val="24"/>
          <w:szCs w:val="24"/>
          <w14:textFill>
            <w14:solidFill>
              <w14:schemeClr w14:val="tx1"/>
            </w14:solidFill>
          </w14:textFill>
        </w:rPr>
        <w:t>日</w:t>
      </w:r>
      <w:r>
        <w:rPr>
          <w:rFonts w:ascii="楷体" w:hAnsi="楷体" w:eastAsia="楷体"/>
          <w:bCs/>
          <w:color w:val="000000" w:themeColor="text1"/>
          <w:sz w:val="24"/>
          <w:szCs w:val="24"/>
          <w14:textFill>
            <w14:solidFill>
              <w14:schemeClr w14:val="tx1"/>
            </w14:solidFill>
          </w14:textFill>
        </w:rPr>
        <w:t>在深圳证券交易所系统指定信息披露平台发布的</w:t>
      </w:r>
      <w:r>
        <w:rPr>
          <w:rFonts w:hint="eastAsia" w:ascii="楷体" w:hAnsi="楷体" w:eastAsia="楷体"/>
          <w:bCs/>
          <w:color w:val="000000" w:themeColor="text1"/>
          <w:sz w:val="24"/>
          <w:szCs w:val="24"/>
          <w14:textFill>
            <w14:solidFill>
              <w14:schemeClr w14:val="tx1"/>
            </w14:solidFill>
          </w14:textFill>
        </w:rPr>
        <w:t>《中百控股集团股份有限公司第十届董事会第十一次会议决议公告》（公告编号：2022-020）</w:t>
      </w:r>
      <w:bookmarkStart w:id="0" w:name="_GoBack"/>
      <w:bookmarkEnd w:id="0"/>
      <w:r>
        <w:rPr>
          <w:rFonts w:ascii="楷体" w:hAnsi="楷体" w:eastAsia="楷体"/>
          <w:bCs/>
          <w:color w:val="000000" w:themeColor="text1"/>
          <w:sz w:val="24"/>
          <w:szCs w:val="24"/>
          <w14:textFill>
            <w14:solidFill>
              <w14:schemeClr w14:val="tx1"/>
            </w14:solidFill>
          </w14:textFill>
        </w:rPr>
        <w:t>中披露的议案一致，符合《公司法》、《</w:t>
      </w:r>
      <w:r>
        <w:rPr>
          <w:rFonts w:hint="eastAsia" w:ascii="楷体" w:hAnsi="楷体" w:eastAsia="楷体"/>
          <w:bCs/>
          <w:color w:val="000000" w:themeColor="text1"/>
          <w:sz w:val="24"/>
          <w:szCs w:val="24"/>
          <w:lang w:eastAsia="zh-CN"/>
          <w14:textFill>
            <w14:solidFill>
              <w14:schemeClr w14:val="tx1"/>
            </w14:solidFill>
          </w14:textFill>
        </w:rPr>
        <w:t>股东大会议事规则</w:t>
      </w:r>
      <w:r>
        <w:rPr>
          <w:rFonts w:ascii="楷体" w:hAnsi="楷体" w:eastAsia="楷体"/>
          <w:bCs/>
          <w:color w:val="000000" w:themeColor="text1"/>
          <w:sz w:val="24"/>
          <w:szCs w:val="24"/>
          <w14:textFill>
            <w14:solidFill>
              <w14:schemeClr w14:val="tx1"/>
            </w14:solidFill>
          </w14:textFill>
        </w:rPr>
        <w:t>》及《公司章程》的相关规定。</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4.本次临时股东大会的召开</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根据本所律师见证，本次临时股东大会于</w:t>
      </w:r>
      <w:r>
        <w:rPr>
          <w:rFonts w:ascii="楷体" w:hAnsi="楷体" w:eastAsia="楷体"/>
          <w:bCs/>
          <w:color w:val="000000" w:themeColor="text1"/>
          <w:sz w:val="24"/>
          <w:szCs w:val="24"/>
          <w14:textFill>
            <w14:solidFill>
              <w14:schemeClr w14:val="tx1"/>
            </w14:solidFill>
          </w14:textFill>
        </w:rPr>
        <w:t>202</w:t>
      </w:r>
      <w:r>
        <w:rPr>
          <w:rFonts w:hint="eastAsia" w:ascii="楷体" w:hAnsi="楷体" w:eastAsia="楷体"/>
          <w:bCs/>
          <w:color w:val="000000" w:themeColor="text1"/>
          <w:sz w:val="24"/>
          <w:szCs w:val="24"/>
          <w:lang w:val="en-US" w:eastAsia="zh-CN"/>
          <w14:textFill>
            <w14:solidFill>
              <w14:schemeClr w14:val="tx1"/>
            </w14:solidFill>
          </w14:textFill>
        </w:rPr>
        <w:t>2</w:t>
      </w:r>
      <w:r>
        <w:rPr>
          <w:rFonts w:ascii="楷体" w:hAnsi="楷体" w:eastAsia="楷体"/>
          <w:bCs/>
          <w:color w:val="000000" w:themeColor="text1"/>
          <w:sz w:val="24"/>
          <w:szCs w:val="24"/>
          <w14:textFill>
            <w14:solidFill>
              <w14:schemeClr w14:val="tx1"/>
            </w14:solidFill>
          </w14:textFill>
        </w:rPr>
        <w:t>年</w:t>
      </w:r>
      <w:r>
        <w:rPr>
          <w:rFonts w:hint="eastAsia" w:ascii="楷体" w:hAnsi="楷体" w:eastAsia="楷体"/>
          <w:bCs/>
          <w:color w:val="000000" w:themeColor="text1"/>
          <w:sz w:val="24"/>
          <w:szCs w:val="24"/>
          <w:lang w:val="en-US" w:eastAsia="zh-CN"/>
          <w14:textFill>
            <w14:solidFill>
              <w14:schemeClr w14:val="tx1"/>
            </w14:solidFill>
          </w14:textFill>
        </w:rPr>
        <w:t>5</w:t>
      </w:r>
      <w:r>
        <w:rPr>
          <w:rFonts w:ascii="楷体" w:hAnsi="楷体" w:eastAsia="楷体"/>
          <w:bCs/>
          <w:color w:val="000000" w:themeColor="text1"/>
          <w:sz w:val="24"/>
          <w:szCs w:val="24"/>
          <w14:textFill>
            <w14:solidFill>
              <w14:schemeClr w14:val="tx1"/>
            </w14:solidFill>
          </w14:textFill>
        </w:rPr>
        <w:t>月</w:t>
      </w:r>
      <w:r>
        <w:rPr>
          <w:rFonts w:hint="eastAsia" w:ascii="楷体" w:hAnsi="楷体" w:eastAsia="楷体"/>
          <w:bCs/>
          <w:color w:val="000000" w:themeColor="text1"/>
          <w:sz w:val="24"/>
          <w:szCs w:val="24"/>
          <w:lang w:val="en-US" w:eastAsia="zh-CN"/>
          <w14:textFill>
            <w14:solidFill>
              <w14:schemeClr w14:val="tx1"/>
            </w14:solidFill>
          </w14:textFill>
        </w:rPr>
        <w:t>30</w:t>
      </w:r>
      <w:r>
        <w:rPr>
          <w:rFonts w:ascii="楷体" w:hAnsi="楷体" w:eastAsia="楷体"/>
          <w:bCs/>
          <w:color w:val="000000" w:themeColor="text1"/>
          <w:sz w:val="24"/>
          <w:szCs w:val="24"/>
          <w14:textFill>
            <w14:solidFill>
              <w14:schemeClr w14:val="tx1"/>
            </w14:solidFill>
          </w14:textFill>
        </w:rPr>
        <w:t>日下午</w:t>
      </w:r>
      <w:r>
        <w:rPr>
          <w:rFonts w:ascii="楷体" w:hAnsi="楷体" w:eastAsia="楷体"/>
          <w:bCs/>
          <w:color w:val="000000" w:themeColor="text1"/>
          <w:sz w:val="24"/>
          <w:szCs w:val="24"/>
          <w:highlight w:val="none"/>
          <w14:textFill>
            <w14:solidFill>
              <w14:schemeClr w14:val="tx1"/>
            </w14:solidFill>
          </w14:textFill>
        </w:rPr>
        <w:t>1</w:t>
      </w:r>
      <w:r>
        <w:rPr>
          <w:rFonts w:hint="eastAsia" w:ascii="楷体" w:hAnsi="楷体" w:eastAsia="楷体"/>
          <w:bCs/>
          <w:color w:val="000000" w:themeColor="text1"/>
          <w:sz w:val="24"/>
          <w:szCs w:val="24"/>
          <w:highlight w:val="none"/>
          <w:lang w:val="en-US" w:eastAsia="zh-CN"/>
          <w14:textFill>
            <w14:solidFill>
              <w14:schemeClr w14:val="tx1"/>
            </w14:solidFill>
          </w14:textFill>
        </w:rPr>
        <w:t>5</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lang w:val="en-US" w:eastAsia="zh-CN"/>
          <w14:textFill>
            <w14:solidFill>
              <w14:schemeClr w14:val="tx1"/>
            </w14:solidFill>
          </w14:textFill>
        </w:rPr>
        <w:t>0</w:t>
      </w:r>
      <w:r>
        <w:rPr>
          <w:rFonts w:ascii="楷体" w:hAnsi="楷体" w:eastAsia="楷体"/>
          <w:bCs/>
          <w:color w:val="000000" w:themeColor="text1"/>
          <w:sz w:val="24"/>
          <w:szCs w:val="24"/>
          <w:highlight w:val="none"/>
          <w14:textFill>
            <w14:solidFill>
              <w14:schemeClr w14:val="tx1"/>
            </w14:solidFill>
          </w14:textFill>
        </w:rPr>
        <w:t>0时</w:t>
      </w:r>
      <w:r>
        <w:rPr>
          <w:rFonts w:ascii="楷体" w:hAnsi="楷体" w:eastAsia="楷体"/>
          <w:bCs/>
          <w:color w:val="000000" w:themeColor="text1"/>
          <w:sz w:val="24"/>
          <w:szCs w:val="24"/>
          <w14:textFill>
            <w14:solidFill>
              <w14:schemeClr w14:val="tx1"/>
            </w14:solidFill>
          </w14:textFill>
        </w:rPr>
        <w:t>如期在公司本部</w:t>
      </w:r>
      <w:r>
        <w:rPr>
          <w:rFonts w:hint="eastAsia" w:ascii="楷体" w:hAnsi="楷体" w:eastAsia="楷体"/>
          <w:bCs/>
          <w:color w:val="000000" w:themeColor="text1"/>
          <w:sz w:val="24"/>
          <w:szCs w:val="24"/>
          <w14:textFill>
            <w14:solidFill>
              <w14:schemeClr w14:val="tx1"/>
            </w14:solidFill>
          </w14:textFill>
        </w:rPr>
        <w:t>17</w:t>
      </w:r>
      <w:r>
        <w:rPr>
          <w:rFonts w:ascii="楷体" w:hAnsi="楷体" w:eastAsia="楷体"/>
          <w:bCs/>
          <w:color w:val="000000" w:themeColor="text1"/>
          <w:sz w:val="24"/>
          <w:szCs w:val="24"/>
          <w14:textFill>
            <w14:solidFill>
              <w14:schemeClr w14:val="tx1"/>
            </w14:solidFill>
          </w14:textFill>
        </w:rPr>
        <w:t>楼会议室（</w:t>
      </w:r>
      <w:r>
        <w:rPr>
          <w:rFonts w:hint="eastAsia" w:ascii="楷体" w:hAnsi="楷体" w:eastAsia="楷体"/>
          <w:bCs/>
          <w:color w:val="000000" w:themeColor="text1"/>
          <w:sz w:val="24"/>
          <w:szCs w:val="24"/>
          <w14:textFill>
            <w14:solidFill>
              <w14:schemeClr w14:val="tx1"/>
            </w14:solidFill>
          </w14:textFill>
        </w:rPr>
        <w:t>武汉市江汉区唐家墩路32号国创大厦A座17楼</w:t>
      </w:r>
      <w:r>
        <w:rPr>
          <w:rFonts w:ascii="楷体" w:hAnsi="楷体" w:eastAsia="楷体"/>
          <w:bCs/>
          <w:color w:val="000000" w:themeColor="text1"/>
          <w:sz w:val="24"/>
          <w:szCs w:val="24"/>
          <w14:textFill>
            <w14:solidFill>
              <w14:schemeClr w14:val="tx1"/>
            </w14:solidFill>
          </w14:textFill>
        </w:rPr>
        <w:t>），由</w:t>
      </w:r>
      <w:r>
        <w:rPr>
          <w:rFonts w:hint="eastAsia" w:ascii="楷体" w:hAnsi="楷体" w:eastAsia="楷体"/>
          <w:bCs/>
          <w:color w:val="000000" w:themeColor="text1"/>
          <w:sz w:val="24"/>
          <w:szCs w:val="24"/>
          <w14:textFill>
            <w14:solidFill>
              <w14:schemeClr w14:val="tx1"/>
            </w14:solidFill>
          </w14:textFill>
        </w:rPr>
        <w:t>董事长</w:t>
      </w:r>
      <w:r>
        <w:rPr>
          <w:rFonts w:hint="eastAsia" w:ascii="楷体" w:hAnsi="楷体" w:eastAsia="楷体"/>
          <w:bCs/>
          <w:color w:val="000000" w:themeColor="text1"/>
          <w:sz w:val="24"/>
          <w:szCs w:val="24"/>
          <w:highlight w:val="none"/>
          <w:u w:val="single"/>
          <w14:textFill>
            <w14:solidFill>
              <w14:schemeClr w14:val="tx1"/>
            </w14:solidFill>
          </w14:textFill>
        </w:rPr>
        <w:t>李军</w:t>
      </w:r>
      <w:r>
        <w:rPr>
          <w:rFonts w:hint="eastAsia" w:ascii="楷体" w:hAnsi="楷体" w:eastAsia="楷体"/>
          <w:bCs/>
          <w:color w:val="000000" w:themeColor="text1"/>
          <w:sz w:val="24"/>
          <w:szCs w:val="24"/>
          <w14:textFill>
            <w14:solidFill>
              <w14:schemeClr w14:val="tx1"/>
            </w14:solidFill>
          </w14:textFill>
        </w:rPr>
        <w:t>主持。</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本次临时股东大会召开的实际时间、地点以及方式与</w:t>
      </w:r>
      <w:r>
        <w:rPr>
          <w:rFonts w:ascii="楷体" w:hAnsi="楷体" w:eastAsia="楷体"/>
          <w:bCs/>
          <w:color w:val="000000" w:themeColor="text1"/>
          <w:sz w:val="24"/>
          <w:szCs w:val="24"/>
          <w14:textFill>
            <w14:solidFill>
              <w14:schemeClr w14:val="tx1"/>
            </w14:solidFill>
          </w14:textFill>
        </w:rPr>
        <w:t>临时股东大会通知</w:t>
      </w:r>
      <w:r>
        <w:rPr>
          <w:rFonts w:hint="eastAsia" w:ascii="楷体" w:hAnsi="楷体" w:eastAsia="楷体"/>
          <w:bCs/>
          <w:color w:val="000000" w:themeColor="text1"/>
          <w:sz w:val="24"/>
          <w:szCs w:val="24"/>
          <w14:textFill>
            <w14:solidFill>
              <w14:schemeClr w14:val="tx1"/>
            </w14:solidFill>
          </w14:textFill>
        </w:rPr>
        <w:t>公告中所告知的时间、地点及方式一致，符合《公司法》、《</w:t>
      </w:r>
      <w:r>
        <w:rPr>
          <w:rFonts w:ascii="楷体" w:hAnsi="楷体" w:eastAsia="楷体"/>
          <w:bCs/>
          <w:color w:val="000000" w:themeColor="text1"/>
          <w:sz w:val="24"/>
          <w:szCs w:val="24"/>
          <w14:textFill>
            <w14:solidFill>
              <w14:schemeClr w14:val="tx1"/>
            </w14:solidFill>
          </w14:textFill>
        </w:rPr>
        <w:t>股东大会</w:t>
      </w:r>
      <w:r>
        <w:rPr>
          <w:rFonts w:hint="eastAsia" w:ascii="楷体" w:hAnsi="楷体" w:eastAsia="楷体"/>
          <w:bCs/>
          <w:color w:val="000000" w:themeColor="text1"/>
          <w:sz w:val="24"/>
          <w:szCs w:val="24"/>
          <w:lang w:eastAsia="zh-CN"/>
          <w14:textFill>
            <w14:solidFill>
              <w14:schemeClr w14:val="tx1"/>
            </w14:solidFill>
          </w14:textFill>
        </w:rPr>
        <w:t>议事</w:t>
      </w:r>
      <w:r>
        <w:rPr>
          <w:rFonts w:ascii="楷体" w:hAnsi="楷体" w:eastAsia="楷体"/>
          <w:bCs/>
          <w:color w:val="000000" w:themeColor="text1"/>
          <w:sz w:val="24"/>
          <w:szCs w:val="24"/>
          <w14:textFill>
            <w14:solidFill>
              <w14:schemeClr w14:val="tx1"/>
            </w14:solidFill>
          </w14:textFill>
        </w:rPr>
        <w:t>规则</w:t>
      </w:r>
      <w:r>
        <w:rPr>
          <w:rFonts w:hint="eastAsia" w:ascii="楷体" w:hAnsi="楷体" w:eastAsia="楷体"/>
          <w:bCs/>
          <w:color w:val="000000" w:themeColor="text1"/>
          <w:sz w:val="24"/>
          <w:szCs w:val="24"/>
          <w14:textFill>
            <w14:solidFill>
              <w14:schemeClr w14:val="tx1"/>
            </w14:solidFill>
          </w14:textFill>
        </w:rPr>
        <w:t>》及《公司章程》的相关规定。</w:t>
      </w: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r>
        <w:rPr>
          <w:rFonts w:hint="eastAsia" w:ascii="楷体" w:hAnsi="楷体" w:eastAsia="楷体"/>
          <w:b/>
          <w:color w:val="000000" w:themeColor="text1"/>
          <w:sz w:val="24"/>
          <w:szCs w:val="24"/>
          <w14:textFill>
            <w14:solidFill>
              <w14:schemeClr w14:val="tx1"/>
            </w14:solidFill>
          </w14:textFill>
        </w:rPr>
        <w:t>二、出席本次临时股东大会会议人员的资格</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经本所律师查验出席本次临时股东大会的股东（或股东代理人）的身份证明、股东账户卡和授权委托书，截至</w:t>
      </w:r>
      <w:r>
        <w:rPr>
          <w:rFonts w:ascii="楷体" w:hAnsi="楷体" w:eastAsia="楷体"/>
          <w:bCs/>
          <w:color w:val="000000" w:themeColor="text1"/>
          <w:sz w:val="24"/>
          <w:szCs w:val="24"/>
          <w14:textFill>
            <w14:solidFill>
              <w14:schemeClr w14:val="tx1"/>
            </w14:solidFill>
          </w14:textFill>
        </w:rPr>
        <w:t>20</w:t>
      </w:r>
      <w:r>
        <w:rPr>
          <w:rFonts w:hint="eastAsia" w:ascii="楷体" w:hAnsi="楷体" w:eastAsia="楷体"/>
          <w:bCs/>
          <w:color w:val="000000" w:themeColor="text1"/>
          <w:sz w:val="24"/>
          <w:szCs w:val="24"/>
          <w:lang w:val="en-US" w:eastAsia="zh-CN"/>
          <w14:textFill>
            <w14:solidFill>
              <w14:schemeClr w14:val="tx1"/>
            </w14:solidFill>
          </w14:textFill>
        </w:rPr>
        <w:t>22</w:t>
      </w:r>
      <w:r>
        <w:rPr>
          <w:rFonts w:ascii="楷体" w:hAnsi="楷体" w:eastAsia="楷体"/>
          <w:bCs/>
          <w:color w:val="000000" w:themeColor="text1"/>
          <w:sz w:val="24"/>
          <w:szCs w:val="24"/>
          <w14:textFill>
            <w14:solidFill>
              <w14:schemeClr w14:val="tx1"/>
            </w14:solidFill>
          </w14:textFill>
        </w:rPr>
        <w:t>年</w:t>
      </w:r>
      <w:r>
        <w:rPr>
          <w:rFonts w:hint="eastAsia" w:ascii="楷体" w:hAnsi="楷体" w:eastAsia="楷体"/>
          <w:bCs/>
          <w:color w:val="000000" w:themeColor="text1"/>
          <w:sz w:val="24"/>
          <w:szCs w:val="24"/>
          <w:lang w:val="en-US" w:eastAsia="zh-CN"/>
          <w14:textFill>
            <w14:solidFill>
              <w14:schemeClr w14:val="tx1"/>
            </w14:solidFill>
          </w14:textFill>
        </w:rPr>
        <w:t>5</w:t>
      </w:r>
      <w:r>
        <w:rPr>
          <w:rFonts w:ascii="楷体" w:hAnsi="楷体" w:eastAsia="楷体"/>
          <w:bCs/>
          <w:color w:val="000000" w:themeColor="text1"/>
          <w:sz w:val="24"/>
          <w:szCs w:val="24"/>
          <w14:textFill>
            <w14:solidFill>
              <w14:schemeClr w14:val="tx1"/>
            </w14:solidFill>
          </w14:textFill>
        </w:rPr>
        <w:t>月</w:t>
      </w:r>
      <w:r>
        <w:rPr>
          <w:rFonts w:hint="eastAsia" w:ascii="楷体" w:hAnsi="楷体" w:eastAsia="楷体"/>
          <w:bCs/>
          <w:color w:val="000000" w:themeColor="text1"/>
          <w:sz w:val="24"/>
          <w:szCs w:val="24"/>
          <w:lang w:val="en-US" w:eastAsia="zh-CN"/>
          <w14:textFill>
            <w14:solidFill>
              <w14:schemeClr w14:val="tx1"/>
            </w14:solidFill>
          </w14:textFill>
        </w:rPr>
        <w:t>23</w:t>
      </w:r>
      <w:r>
        <w:rPr>
          <w:rFonts w:ascii="楷体" w:hAnsi="楷体" w:eastAsia="楷体"/>
          <w:bCs/>
          <w:color w:val="000000" w:themeColor="text1"/>
          <w:sz w:val="24"/>
          <w:szCs w:val="24"/>
          <w14:textFill>
            <w14:solidFill>
              <w14:schemeClr w14:val="tx1"/>
            </w14:solidFill>
          </w14:textFill>
        </w:rPr>
        <w:t>日股权登记日下午收市时在中国证券登记结算有限责任公司深圳分公司出具的股东名册，以及深圳证券交易所交易系统投票平台、互联网投票平台的验证，出席或参加本次临时股东大会的股东（或股东代理人）的情况如下：</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1.出席现场会议的股东（或股东代理人）</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根据本次临时股东大会出席会议股东的会议登记册，出席现场会议的股东</w:t>
      </w:r>
      <w:r>
        <w:rPr>
          <w:rFonts w:hint="eastAsia" w:ascii="楷体" w:hAnsi="楷体" w:eastAsia="楷体"/>
          <w:bCs/>
          <w:color w:val="000000" w:themeColor="text1"/>
          <w:sz w:val="24"/>
          <w:szCs w:val="24"/>
          <w:lang w:eastAsia="zh-CN"/>
          <w14:textFill>
            <w14:solidFill>
              <w14:schemeClr w14:val="tx1"/>
            </w14:solidFill>
          </w14:textFill>
        </w:rPr>
        <w:t>（</w:t>
      </w:r>
      <w:r>
        <w:rPr>
          <w:rFonts w:ascii="楷体" w:hAnsi="楷体" w:eastAsia="楷体"/>
          <w:bCs/>
          <w:color w:val="000000" w:themeColor="text1"/>
          <w:sz w:val="24"/>
          <w:szCs w:val="24"/>
          <w14:textFill>
            <w14:solidFill>
              <w14:schemeClr w14:val="tx1"/>
            </w14:solidFill>
          </w14:textFill>
        </w:rPr>
        <w:t>或股东代理人</w:t>
      </w:r>
      <w:r>
        <w:rPr>
          <w:rFonts w:hint="eastAsia" w:ascii="楷体" w:hAnsi="楷体" w:eastAsia="楷体"/>
          <w:bCs/>
          <w:color w:val="000000" w:themeColor="text1"/>
          <w:sz w:val="24"/>
          <w:szCs w:val="24"/>
          <w:lang w:eastAsia="zh-CN"/>
          <w14:textFill>
            <w14:solidFill>
              <w14:schemeClr w14:val="tx1"/>
            </w14:solidFill>
          </w14:textFill>
        </w:rPr>
        <w:t>）</w:t>
      </w:r>
      <w:r>
        <w:rPr>
          <w:rFonts w:ascii="楷体" w:hAnsi="楷体" w:eastAsia="楷体"/>
          <w:bCs/>
          <w:color w:val="000000" w:themeColor="text1"/>
          <w:sz w:val="24"/>
          <w:szCs w:val="24"/>
          <w:highlight w:val="none"/>
          <w14:textFill>
            <w14:solidFill>
              <w14:schemeClr w14:val="tx1"/>
            </w14:solidFill>
          </w14:textFill>
        </w:rPr>
        <w:t>共</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2</w:t>
      </w:r>
      <w:r>
        <w:rPr>
          <w:rFonts w:hint="eastAsia" w:ascii="楷体" w:hAnsi="楷体" w:eastAsia="楷体"/>
          <w:bCs/>
          <w:color w:val="000000" w:themeColor="text1"/>
          <w:sz w:val="24"/>
          <w:szCs w:val="24"/>
          <w:highlight w:val="none"/>
          <w14:textFill>
            <w14:solidFill>
              <w14:schemeClr w14:val="tx1"/>
            </w14:solidFill>
          </w14:textFill>
        </w:rPr>
        <w:t>人，持有公司有效表决权的股份</w:t>
      </w:r>
      <w:r>
        <w:rPr>
          <w:rFonts w:hint="eastAsia" w:ascii="楷体" w:hAnsi="楷体" w:eastAsia="楷体"/>
          <w:bCs/>
          <w:color w:val="000000" w:themeColor="text1"/>
          <w:sz w:val="24"/>
          <w:szCs w:val="24"/>
          <w:highlight w:val="none"/>
          <w:u w:val="single"/>
          <w14:textFill>
            <w14:solidFill>
              <w14:schemeClr w14:val="tx1"/>
            </w14:solidFill>
          </w14:textFill>
        </w:rPr>
        <w:t>231,537,285</w:t>
      </w:r>
      <w:r>
        <w:rPr>
          <w:rFonts w:hint="eastAsia" w:ascii="楷体" w:hAnsi="楷体" w:eastAsia="楷体"/>
          <w:bCs/>
          <w:color w:val="000000" w:themeColor="text1"/>
          <w:sz w:val="24"/>
          <w:szCs w:val="24"/>
          <w:highlight w:val="none"/>
          <w14:textFill>
            <w14:solidFill>
              <w14:schemeClr w14:val="tx1"/>
            </w14:solidFill>
          </w14:textFill>
        </w:rPr>
        <w:t>股，占本次临时股东大会会议股权登记日公司有效表决权股份总数</w:t>
      </w:r>
      <w:r>
        <w:rPr>
          <w:rFonts w:hint="eastAsia" w:ascii="楷体" w:hAnsi="楷体" w:eastAsia="楷体"/>
          <w:bCs/>
          <w:color w:val="000000" w:themeColor="text1"/>
          <w:sz w:val="24"/>
          <w:szCs w:val="24"/>
          <w:highlight w:val="none"/>
          <w:u w:val="single"/>
          <w14:textFill>
            <w14:solidFill>
              <w14:schemeClr w14:val="tx1"/>
            </w14:solidFill>
          </w14:textFill>
        </w:rPr>
        <w:t>33.9985</w:t>
      </w:r>
      <w:r>
        <w:rPr>
          <w:rFonts w:ascii="楷体" w:hAnsi="楷体" w:eastAsia="楷体"/>
          <w:bCs/>
          <w:color w:val="000000" w:themeColor="text1"/>
          <w:sz w:val="24"/>
          <w:szCs w:val="24"/>
          <w:highlight w:val="none"/>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经验证，出席本次临时股东大会现场会议的股东</w:t>
      </w:r>
      <w:r>
        <w:rPr>
          <w:rFonts w:hint="eastAsia" w:ascii="楷体" w:hAnsi="楷体" w:eastAsia="楷体"/>
          <w:bCs/>
          <w:color w:val="000000" w:themeColor="text1"/>
          <w:sz w:val="24"/>
          <w:szCs w:val="24"/>
          <w:lang w:eastAsia="zh-CN"/>
          <w14:textFill>
            <w14:solidFill>
              <w14:schemeClr w14:val="tx1"/>
            </w14:solidFill>
          </w14:textFill>
        </w:rPr>
        <w:t>（</w:t>
      </w:r>
      <w:r>
        <w:rPr>
          <w:rFonts w:ascii="楷体" w:hAnsi="楷体" w:eastAsia="楷体"/>
          <w:bCs/>
          <w:color w:val="000000" w:themeColor="text1"/>
          <w:sz w:val="24"/>
          <w:szCs w:val="24"/>
          <w14:textFill>
            <w14:solidFill>
              <w14:schemeClr w14:val="tx1"/>
            </w14:solidFill>
          </w14:textFill>
        </w:rPr>
        <w:t>或股东代理人</w:t>
      </w:r>
      <w:r>
        <w:rPr>
          <w:rFonts w:hint="eastAsia" w:ascii="楷体" w:hAnsi="楷体" w:eastAsia="楷体"/>
          <w:bCs/>
          <w:color w:val="000000" w:themeColor="text1"/>
          <w:sz w:val="24"/>
          <w:szCs w:val="24"/>
          <w:lang w:eastAsia="zh-CN"/>
          <w14:textFill>
            <w14:solidFill>
              <w14:schemeClr w14:val="tx1"/>
            </w14:solidFill>
          </w14:textFill>
        </w:rPr>
        <w:t>）</w:t>
      </w:r>
      <w:r>
        <w:rPr>
          <w:rFonts w:ascii="楷体" w:hAnsi="楷体" w:eastAsia="楷体"/>
          <w:bCs/>
          <w:color w:val="000000" w:themeColor="text1"/>
          <w:sz w:val="24"/>
          <w:szCs w:val="24"/>
          <w14:textFill>
            <w14:solidFill>
              <w14:schemeClr w14:val="tx1"/>
            </w14:solidFill>
          </w14:textFill>
        </w:rPr>
        <w:t xml:space="preserve">均具备出席本次临时股东大会的合法资格。 </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 xml:space="preserve">2.参加网络投票的股东 </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根据深圳证券交易所交易系统投票平台和互联网投票平台的最终确认，在本</w:t>
      </w:r>
      <w:r>
        <w:rPr>
          <w:rFonts w:hint="eastAsia" w:ascii="楷体" w:hAnsi="楷体" w:eastAsia="楷体"/>
          <w:bCs/>
          <w:color w:val="000000" w:themeColor="text1"/>
          <w:sz w:val="24"/>
          <w:szCs w:val="24"/>
          <w:highlight w:val="none"/>
          <w14:textFill>
            <w14:solidFill>
              <w14:schemeClr w14:val="tx1"/>
            </w14:solidFill>
          </w14:textFill>
        </w:rPr>
        <w:t>次临时股东大会确定的有效网络投票时段内，通过网络投票系统直接投票的股东共计</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13</w:t>
      </w:r>
      <w:r>
        <w:rPr>
          <w:rFonts w:hint="eastAsia" w:ascii="楷体" w:hAnsi="楷体" w:eastAsia="楷体"/>
          <w:bCs/>
          <w:color w:val="000000" w:themeColor="text1"/>
          <w:sz w:val="24"/>
          <w:szCs w:val="24"/>
          <w:highlight w:val="none"/>
          <w14:textFill>
            <w14:solidFill>
              <w14:schemeClr w14:val="tx1"/>
            </w14:solidFill>
          </w14:textFill>
        </w:rPr>
        <w:t>人，持有公司有效表决权的股份</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246,929,943</w:t>
      </w:r>
      <w:r>
        <w:rPr>
          <w:rFonts w:hint="eastAsia" w:ascii="楷体" w:hAnsi="楷体" w:eastAsia="楷体"/>
          <w:bCs/>
          <w:color w:val="000000" w:themeColor="text1"/>
          <w:sz w:val="24"/>
          <w:szCs w:val="24"/>
          <w:highlight w:val="none"/>
          <w14:textFill>
            <w14:solidFill>
              <w14:schemeClr w14:val="tx1"/>
            </w14:solidFill>
          </w14:textFill>
        </w:rPr>
        <w:t>股，占本次临时股东大会会议股权登记日公司有效表决权股份总数的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36.2588</w:t>
      </w:r>
      <w:r>
        <w:rPr>
          <w:rFonts w:ascii="楷体" w:hAnsi="楷体" w:eastAsia="楷体"/>
          <w:bCs/>
          <w:color w:val="000000" w:themeColor="text1"/>
          <w:sz w:val="24"/>
          <w:szCs w:val="24"/>
          <w:highlight w:val="none"/>
          <w14:textFill>
            <w14:solidFill>
              <w14:schemeClr w14:val="tx1"/>
            </w14:solidFill>
          </w14:textFill>
        </w:rPr>
        <w:t>%。参加</w:t>
      </w:r>
      <w:r>
        <w:rPr>
          <w:rFonts w:ascii="楷体" w:hAnsi="楷体" w:eastAsia="楷体"/>
          <w:bCs/>
          <w:color w:val="000000" w:themeColor="text1"/>
          <w:sz w:val="24"/>
          <w:szCs w:val="24"/>
          <w14:textFill>
            <w14:solidFill>
              <w14:schemeClr w14:val="tx1"/>
            </w14:solidFill>
          </w14:textFill>
        </w:rPr>
        <w:t>网络投票的股东的资格已由深圳证券交易所交易系统和互联网投票系统进行认证。</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 xml:space="preserve">3.参加会议的中小投资者 </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通过现场和网络参加本次会议的中小投资者共</w:t>
      </w:r>
      <w:r>
        <w:rPr>
          <w:rFonts w:hint="eastAsia" w:ascii="楷体" w:hAnsi="楷体" w:eastAsia="楷体"/>
          <w:bCs/>
          <w:color w:val="000000" w:themeColor="text1"/>
          <w:sz w:val="24"/>
          <w:szCs w:val="24"/>
          <w:highlight w:val="none"/>
          <w14:textFill>
            <w14:solidFill>
              <w14:schemeClr w14:val="tx1"/>
            </w14:solidFill>
          </w14:textFill>
        </w:rPr>
        <w:t>计</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w:t>
      </w:r>
      <w:r>
        <w:rPr>
          <w:rFonts w:hint="eastAsia" w:ascii="楷体" w:hAnsi="楷体" w:eastAsia="楷体"/>
          <w:bCs/>
          <w:color w:val="000000" w:themeColor="text1"/>
          <w:sz w:val="24"/>
          <w:szCs w:val="24"/>
          <w:highlight w:val="none"/>
          <w14:textFill>
            <w14:solidFill>
              <w14:schemeClr w14:val="tx1"/>
            </w14:solidFill>
          </w14:textFill>
        </w:rPr>
        <w:t>人，</w:t>
      </w:r>
      <w:r>
        <w:rPr>
          <w:rFonts w:hint="eastAsia" w:ascii="楷体" w:hAnsi="楷体" w:eastAsia="楷体"/>
          <w:bCs/>
          <w:color w:val="000000" w:themeColor="text1"/>
          <w:sz w:val="24"/>
          <w:szCs w:val="24"/>
          <w14:textFill>
            <w14:solidFill>
              <w14:schemeClr w14:val="tx1"/>
            </w14:solidFill>
          </w14:textFill>
        </w:rPr>
        <w:t>持有公司有效表决权</w:t>
      </w:r>
      <w:r>
        <w:rPr>
          <w:rFonts w:hint="eastAsia" w:ascii="楷体" w:hAnsi="楷体" w:eastAsia="楷体"/>
          <w:bCs/>
          <w:color w:val="000000" w:themeColor="text1"/>
          <w:sz w:val="24"/>
          <w:szCs w:val="24"/>
          <w:highlight w:val="none"/>
          <w14:textFill>
            <w14:solidFill>
              <w14:schemeClr w14:val="tx1"/>
            </w14:solidFill>
          </w14:textFill>
        </w:rPr>
        <w:t>的股份</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3,048,889</w:t>
      </w:r>
      <w:r>
        <w:rPr>
          <w:rFonts w:hint="eastAsia" w:ascii="楷体" w:hAnsi="楷体" w:eastAsia="楷体"/>
          <w:bCs/>
          <w:color w:val="000000" w:themeColor="text1"/>
          <w:sz w:val="24"/>
          <w:szCs w:val="24"/>
          <w:highlight w:val="none"/>
          <w14:textFill>
            <w14:solidFill>
              <w14:schemeClr w14:val="tx1"/>
            </w14:solidFill>
          </w14:textFill>
        </w:rPr>
        <w:t>股，占本次会议股权登记日公司有效表决权股份总数的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0.4477</w:t>
      </w:r>
      <w:r>
        <w:rPr>
          <w:rFonts w:ascii="楷体" w:hAnsi="楷体" w:eastAsia="楷体"/>
          <w:bCs/>
          <w:color w:val="000000" w:themeColor="text1"/>
          <w:sz w:val="24"/>
          <w:szCs w:val="24"/>
          <w:highlight w:val="none"/>
          <w14:textFill>
            <w14:solidFill>
              <w14:schemeClr w14:val="tx1"/>
            </w14:solidFill>
          </w14:textFill>
        </w:rPr>
        <w:t>%。中小投资者是指</w:t>
      </w:r>
      <w:r>
        <w:rPr>
          <w:rFonts w:ascii="楷体" w:hAnsi="楷体" w:eastAsia="楷体"/>
          <w:bCs/>
          <w:color w:val="000000" w:themeColor="text1"/>
          <w:sz w:val="24"/>
          <w:szCs w:val="24"/>
          <w14:textFill>
            <w14:solidFill>
              <w14:schemeClr w14:val="tx1"/>
            </w14:solidFill>
          </w14:textFill>
        </w:rPr>
        <w:t xml:space="preserve">除公司董事、监事、高级管理人员以及单独或者合计持有公司5%以上股份的股东以外的其他股东。 </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4.出席、列席会议的其他人员</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根据本所律师审查，除公司股东</w:t>
      </w:r>
      <w:r>
        <w:rPr>
          <w:rFonts w:hint="eastAsia" w:ascii="楷体" w:hAnsi="楷体" w:eastAsia="楷体"/>
          <w:bCs/>
          <w:color w:val="000000" w:themeColor="text1"/>
          <w:sz w:val="24"/>
          <w:szCs w:val="24"/>
          <w:lang w:eastAsia="zh-CN"/>
          <w14:textFill>
            <w14:solidFill>
              <w14:schemeClr w14:val="tx1"/>
            </w14:solidFill>
          </w14:textFill>
        </w:rPr>
        <w:t>（</w:t>
      </w:r>
      <w:r>
        <w:rPr>
          <w:rFonts w:ascii="楷体" w:hAnsi="楷体" w:eastAsia="楷体"/>
          <w:bCs/>
          <w:color w:val="000000" w:themeColor="text1"/>
          <w:sz w:val="24"/>
          <w:szCs w:val="24"/>
          <w14:textFill>
            <w14:solidFill>
              <w14:schemeClr w14:val="tx1"/>
            </w14:solidFill>
          </w14:textFill>
        </w:rPr>
        <w:t>或股东代理人</w:t>
      </w:r>
      <w:r>
        <w:rPr>
          <w:rFonts w:hint="eastAsia" w:ascii="楷体" w:hAnsi="楷体" w:eastAsia="楷体"/>
          <w:bCs/>
          <w:color w:val="000000" w:themeColor="text1"/>
          <w:sz w:val="24"/>
          <w:szCs w:val="24"/>
          <w:lang w:eastAsia="zh-CN"/>
          <w14:textFill>
            <w14:solidFill>
              <w14:schemeClr w14:val="tx1"/>
            </w14:solidFill>
          </w14:textFill>
        </w:rPr>
        <w:t>）</w:t>
      </w:r>
      <w:r>
        <w:rPr>
          <w:rFonts w:ascii="楷体" w:hAnsi="楷体" w:eastAsia="楷体"/>
          <w:bCs/>
          <w:color w:val="000000" w:themeColor="text1"/>
          <w:sz w:val="24"/>
          <w:szCs w:val="24"/>
          <w14:textFill>
            <w14:solidFill>
              <w14:schemeClr w14:val="tx1"/>
            </w14:solidFill>
          </w14:textFill>
        </w:rPr>
        <w:t>外，出席、列席本次临时股东大会的其他人员包括：（1）公司董事</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11</w:t>
      </w:r>
      <w:r>
        <w:rPr>
          <w:rFonts w:hint="eastAsia" w:ascii="楷体" w:hAnsi="楷体" w:eastAsia="楷体"/>
          <w:bCs/>
          <w:color w:val="000000" w:themeColor="text1"/>
          <w:sz w:val="24"/>
          <w:szCs w:val="24"/>
          <w:highlight w:val="none"/>
          <w14:textFill>
            <w14:solidFill>
              <w14:schemeClr w14:val="tx1"/>
            </w14:solidFill>
          </w14:textFill>
        </w:rPr>
        <w:t>名</w:t>
      </w:r>
      <w:r>
        <w:rPr>
          <w:rFonts w:hint="eastAsia" w:ascii="楷体" w:hAnsi="楷体" w:eastAsia="楷体"/>
          <w:bCs/>
          <w:color w:val="000000" w:themeColor="text1"/>
          <w:sz w:val="24"/>
          <w:szCs w:val="24"/>
          <w14:textFill>
            <w14:solidFill>
              <w14:schemeClr w14:val="tx1"/>
            </w14:solidFill>
          </w14:textFill>
        </w:rPr>
        <w:t>；（</w:t>
      </w:r>
      <w:r>
        <w:rPr>
          <w:rFonts w:ascii="楷体" w:hAnsi="楷体" w:eastAsia="楷体"/>
          <w:bCs/>
          <w:color w:val="000000" w:themeColor="text1"/>
          <w:sz w:val="24"/>
          <w:szCs w:val="24"/>
          <w14:textFill>
            <w14:solidFill>
              <w14:schemeClr w14:val="tx1"/>
            </w14:solidFill>
          </w14:textFill>
        </w:rPr>
        <w:t>2）公司监事</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5</w:t>
      </w:r>
      <w:r>
        <w:rPr>
          <w:rFonts w:ascii="楷体" w:hAnsi="楷体" w:eastAsia="楷体"/>
          <w:bCs/>
          <w:color w:val="000000" w:themeColor="text1"/>
          <w:sz w:val="24"/>
          <w:szCs w:val="24"/>
          <w14:textFill>
            <w14:solidFill>
              <w14:schemeClr w14:val="tx1"/>
            </w14:solidFill>
          </w14:textFill>
        </w:rPr>
        <w:t>名</w:t>
      </w:r>
      <w:r>
        <w:rPr>
          <w:rFonts w:hint="eastAsia" w:ascii="楷体" w:hAnsi="楷体" w:eastAsia="楷体"/>
          <w:bCs/>
          <w:color w:val="000000" w:themeColor="text1"/>
          <w:sz w:val="24"/>
          <w:szCs w:val="24"/>
          <w14:textFill>
            <w14:solidFill>
              <w14:schemeClr w14:val="tx1"/>
            </w14:solidFill>
          </w14:textFill>
        </w:rPr>
        <w:t>；（</w:t>
      </w:r>
      <w:r>
        <w:rPr>
          <w:rFonts w:ascii="楷体" w:hAnsi="楷体" w:eastAsia="楷体"/>
          <w:bCs/>
          <w:color w:val="000000" w:themeColor="text1"/>
          <w:sz w:val="24"/>
          <w:szCs w:val="24"/>
          <w14:textFill>
            <w14:solidFill>
              <w14:schemeClr w14:val="tx1"/>
            </w14:solidFill>
          </w14:textFill>
        </w:rPr>
        <w:t>3）公司董事会秘书；（4）部分高级管理人员；（5）本所律师</w:t>
      </w:r>
      <w:r>
        <w:rPr>
          <w:rFonts w:hint="eastAsia" w:ascii="楷体" w:hAnsi="楷体" w:eastAsia="楷体"/>
          <w:bCs/>
          <w:color w:val="000000" w:themeColor="text1"/>
          <w:sz w:val="24"/>
          <w:szCs w:val="24"/>
          <w14:textFill>
            <w14:solidFill>
              <w14:schemeClr w14:val="tx1"/>
            </w14:solidFill>
          </w14:textFill>
        </w:rPr>
        <w:t>。</w:t>
      </w:r>
      <w:r>
        <w:rPr>
          <w:rFonts w:ascii="楷体" w:hAnsi="楷体" w:eastAsia="楷体"/>
          <w:bCs/>
          <w:color w:val="000000" w:themeColor="text1"/>
          <w:sz w:val="24"/>
          <w:szCs w:val="24"/>
          <w14:textFill>
            <w14:solidFill>
              <w14:schemeClr w14:val="tx1"/>
            </w14:solidFill>
          </w14:textFill>
        </w:rPr>
        <w:t xml:space="preserve"> </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经验证，本所律师认为，上述人员均具备出席或列席本次临时股东大会的合法资格，符合相关法律、法规和《公司章程》的规定。</w:t>
      </w:r>
      <w:r>
        <w:rPr>
          <w:rFonts w:ascii="楷体" w:hAnsi="楷体" w:eastAsia="楷体"/>
          <w:bCs/>
          <w:color w:val="000000" w:themeColor="text1"/>
          <w:sz w:val="24"/>
          <w:szCs w:val="24"/>
          <w14:textFill>
            <w14:solidFill>
              <w14:schemeClr w14:val="tx1"/>
            </w14:solidFill>
          </w14:textFill>
        </w:rPr>
        <w:t xml:space="preserve"> </w:t>
      </w: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r>
        <w:rPr>
          <w:rFonts w:hint="eastAsia" w:ascii="楷体" w:hAnsi="楷体" w:eastAsia="楷体"/>
          <w:b/>
          <w:color w:val="000000" w:themeColor="text1"/>
          <w:sz w:val="24"/>
          <w:szCs w:val="24"/>
          <w14:textFill>
            <w14:solidFill>
              <w14:schemeClr w14:val="tx1"/>
            </w14:solidFill>
          </w14:textFill>
        </w:rPr>
        <w:t>三、本次临时股东大会的表决程序和表决结果</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1.经本所律师审查，本次临时股东大会实际审议的事项均与公司公告的议案一致，未出现会议审议过程中对议案进行修改或取消的情形，符合《公司法》、</w:t>
      </w:r>
      <w:r>
        <w:rPr>
          <w:rFonts w:hint="eastAsia" w:ascii="楷体" w:hAnsi="楷体" w:eastAsia="楷体"/>
          <w:bCs/>
          <w:color w:val="000000" w:themeColor="text1"/>
          <w:sz w:val="24"/>
          <w:szCs w:val="24"/>
          <w14:textFill>
            <w14:solidFill>
              <w14:schemeClr w14:val="tx1"/>
            </w14:solidFill>
          </w14:textFill>
        </w:rPr>
        <w:t>《</w:t>
      </w:r>
      <w:r>
        <w:rPr>
          <w:rFonts w:hint="eastAsia" w:ascii="楷体" w:hAnsi="楷体" w:eastAsia="楷体"/>
          <w:bCs/>
          <w:color w:val="000000" w:themeColor="text1"/>
          <w:sz w:val="24"/>
          <w:szCs w:val="24"/>
          <w:lang w:eastAsia="zh-CN"/>
          <w14:textFill>
            <w14:solidFill>
              <w14:schemeClr w14:val="tx1"/>
            </w14:solidFill>
          </w14:textFill>
        </w:rPr>
        <w:t>股东大会议事规则</w:t>
      </w:r>
      <w:r>
        <w:rPr>
          <w:rFonts w:hint="eastAsia" w:ascii="楷体" w:hAnsi="楷体" w:eastAsia="楷体"/>
          <w:bCs/>
          <w:color w:val="000000" w:themeColor="text1"/>
          <w:sz w:val="24"/>
          <w:szCs w:val="24"/>
          <w14:textFill>
            <w14:solidFill>
              <w14:schemeClr w14:val="tx1"/>
            </w14:solidFill>
          </w14:textFill>
        </w:rPr>
        <w:t>》及《公司章程》的有关规定。</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2.出席会议的股东</w:t>
      </w:r>
      <w:r>
        <w:rPr>
          <w:rFonts w:hint="eastAsia" w:ascii="楷体" w:hAnsi="楷体" w:eastAsia="楷体"/>
          <w:bCs/>
          <w:color w:val="000000" w:themeColor="text1"/>
          <w:sz w:val="24"/>
          <w:szCs w:val="24"/>
          <w:lang w:eastAsia="zh-CN"/>
          <w14:textFill>
            <w14:solidFill>
              <w14:schemeClr w14:val="tx1"/>
            </w14:solidFill>
          </w14:textFill>
        </w:rPr>
        <w:t>（</w:t>
      </w:r>
      <w:r>
        <w:rPr>
          <w:rFonts w:ascii="楷体" w:hAnsi="楷体" w:eastAsia="楷体"/>
          <w:bCs/>
          <w:color w:val="000000" w:themeColor="text1"/>
          <w:sz w:val="24"/>
          <w:szCs w:val="24"/>
          <w14:textFill>
            <w14:solidFill>
              <w14:schemeClr w14:val="tx1"/>
            </w14:solidFill>
          </w14:textFill>
        </w:rPr>
        <w:t>或股东代理人</w:t>
      </w:r>
      <w:r>
        <w:rPr>
          <w:rFonts w:hint="eastAsia" w:ascii="楷体" w:hAnsi="楷体" w:eastAsia="楷体"/>
          <w:bCs/>
          <w:color w:val="000000" w:themeColor="text1"/>
          <w:sz w:val="24"/>
          <w:szCs w:val="24"/>
          <w:lang w:eastAsia="zh-CN"/>
          <w14:textFill>
            <w14:solidFill>
              <w14:schemeClr w14:val="tx1"/>
            </w14:solidFill>
          </w14:textFill>
        </w:rPr>
        <w:t>）</w:t>
      </w:r>
      <w:r>
        <w:rPr>
          <w:rFonts w:ascii="楷体" w:hAnsi="楷体" w:eastAsia="楷体"/>
          <w:bCs/>
          <w:color w:val="000000" w:themeColor="text1"/>
          <w:sz w:val="24"/>
          <w:szCs w:val="24"/>
          <w14:textFill>
            <w14:solidFill>
              <w14:schemeClr w14:val="tx1"/>
            </w14:solidFill>
          </w14:textFill>
        </w:rPr>
        <w:t>就列入本次临时股东大会议事日程的议案进行了逐一表决。</w:t>
      </w:r>
      <w:r>
        <w:rPr>
          <w:rFonts w:hint="eastAsia" w:ascii="楷体" w:hAnsi="楷体" w:eastAsia="楷体"/>
          <w:bCs/>
          <w:color w:val="000000" w:themeColor="text1"/>
          <w:sz w:val="24"/>
          <w:szCs w:val="24"/>
          <w14:textFill>
            <w14:solidFill>
              <w14:schemeClr w14:val="tx1"/>
            </w14:solidFill>
          </w14:textFill>
        </w:rPr>
        <w:t>本次临时股东大会现场会议推举了</w:t>
      </w:r>
      <w:r>
        <w:rPr>
          <w:rFonts w:hint="eastAsia" w:ascii="楷体" w:hAnsi="楷体" w:eastAsia="楷体"/>
          <w:bCs/>
          <w:color w:val="000000" w:themeColor="text1"/>
          <w:sz w:val="24"/>
          <w:szCs w:val="24"/>
          <w:highlight w:val="none"/>
          <w:lang w:val="en-US" w:eastAsia="zh-CN"/>
          <w14:textFill>
            <w14:solidFill>
              <w14:schemeClr w14:val="tx1"/>
            </w14:solidFill>
          </w14:textFill>
        </w:rPr>
        <w:t>独立董事代表、</w:t>
      </w:r>
      <w:r>
        <w:rPr>
          <w:rFonts w:hint="eastAsia" w:ascii="楷体" w:hAnsi="楷体" w:eastAsia="楷体"/>
          <w:bCs/>
          <w:color w:val="000000" w:themeColor="text1"/>
          <w:sz w:val="24"/>
          <w:szCs w:val="24"/>
          <w:highlight w:val="none"/>
          <w14:textFill>
            <w14:solidFill>
              <w14:schemeClr w14:val="tx1"/>
            </w14:solidFill>
          </w14:textFill>
        </w:rPr>
        <w:t>监事代表</w:t>
      </w:r>
      <w:r>
        <w:rPr>
          <w:rFonts w:hint="eastAsia" w:ascii="楷体" w:hAnsi="楷体" w:eastAsia="楷体"/>
          <w:bCs/>
          <w:color w:val="000000" w:themeColor="text1"/>
          <w:sz w:val="24"/>
          <w:szCs w:val="24"/>
          <w14:textFill>
            <w14:solidFill>
              <w14:schemeClr w14:val="tx1"/>
            </w14:solidFill>
          </w14:textFill>
        </w:rPr>
        <w:t>及本所律师共同参与会议的现场验票、监票和计票。</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3.经本所律师审查，本次临时股东大会通过深圳证券交易所交易系统投票平台及深圳证券交易所互联网投票平台向股东提供网络形式的投票平台。网络投票结束后，公司统计了本次临时股东大会网络投票的表决权总数和统计数据。</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4.经本所律师见证，本次临时股东大会投票结束后，公司合并统计了现场投票和网络投票的表决结果，本次临时股东大会审议并通过了以下议案：</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4.1审议通过《</w:t>
      </w:r>
      <w:r>
        <w:rPr>
          <w:rFonts w:hint="eastAsia" w:ascii="楷体" w:hAnsi="楷体" w:eastAsia="楷体"/>
          <w:bCs/>
          <w:color w:val="000000" w:themeColor="text1"/>
          <w:sz w:val="24"/>
          <w:szCs w:val="24"/>
          <w14:textFill>
            <w14:solidFill>
              <w14:schemeClr w14:val="tx1"/>
            </w14:solidFill>
          </w14:textFill>
        </w:rPr>
        <w:t>关于第一大股东延长股权激励承诺履行期限的议案</w:t>
      </w:r>
      <w:r>
        <w:rPr>
          <w:rFonts w:ascii="楷体" w:hAnsi="楷体" w:eastAsia="楷体"/>
          <w:bCs/>
          <w:color w:val="000000" w:themeColor="text1"/>
          <w:sz w:val="24"/>
          <w:szCs w:val="24"/>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本议案涉及关联事项，关联股东武汉商联（集团）股份有限公司和武汉华汉投资管理有限公司回避表决。关联股东合计持有公司</w:t>
      </w:r>
      <w:r>
        <w:rPr>
          <w:rFonts w:hint="eastAsia" w:ascii="楷体" w:hAnsi="楷体" w:eastAsia="楷体"/>
          <w:bCs/>
          <w:color w:val="000000" w:themeColor="text1"/>
          <w:sz w:val="24"/>
          <w:szCs w:val="24"/>
          <w:highlight w:val="none"/>
          <w:u w:val="single"/>
          <w14:textFill>
            <w14:solidFill>
              <w14:schemeClr w14:val="tx1"/>
            </w14:solidFill>
          </w14:textFill>
        </w:rPr>
        <w:t>231,537,285</w:t>
      </w:r>
      <w:r>
        <w:rPr>
          <w:rFonts w:hint="eastAsia" w:ascii="楷体" w:hAnsi="楷体" w:eastAsia="楷体"/>
          <w:bCs/>
          <w:color w:val="000000" w:themeColor="text1"/>
          <w:sz w:val="24"/>
          <w:szCs w:val="24"/>
          <w:highlight w:val="none"/>
          <w14:textFill>
            <w14:solidFill>
              <w14:schemeClr w14:val="tx1"/>
            </w14:solidFill>
          </w14:textFill>
        </w:rPr>
        <w:t>股的股份，非关联股东一共持有公司</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246,929,943</w:t>
      </w:r>
      <w:r>
        <w:rPr>
          <w:rFonts w:hint="eastAsia" w:ascii="楷体" w:hAnsi="楷体" w:eastAsia="楷体"/>
          <w:bCs/>
          <w:color w:val="000000" w:themeColor="text1"/>
          <w:sz w:val="24"/>
          <w:szCs w:val="24"/>
          <w:highlight w:val="none"/>
          <w14:textFill>
            <w14:solidFill>
              <w14:schemeClr w14:val="tx1"/>
            </w14:solidFill>
          </w14:textFill>
        </w:rPr>
        <w:t>的股份。</w:t>
      </w:r>
    </w:p>
    <w:p>
      <w:pPr>
        <w:spacing w:before="156" w:beforeLines="50" w:after="156" w:afterLines="50" w:line="440" w:lineRule="exact"/>
        <w:ind w:firstLine="480" w:firstLineChars="200"/>
        <w:rPr>
          <w:rFonts w:ascii="楷体" w:hAnsi="楷体" w:eastAsia="楷体"/>
          <w:bCs/>
          <w:i/>
          <w:i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lang w:val="en-US" w:eastAsia="zh-CN"/>
          <w14:textFill>
            <w14:solidFill>
              <w14:schemeClr w14:val="tx1"/>
            </w14:solidFill>
          </w14:textFill>
        </w:rPr>
        <w:t>总表决结果为：245,189,943</w:t>
      </w:r>
      <w:r>
        <w:rPr>
          <w:rFonts w:hint="eastAsia" w:ascii="楷体" w:hAnsi="楷体" w:eastAsia="楷体"/>
          <w:bCs/>
          <w:color w:val="000000" w:themeColor="text1"/>
          <w:sz w:val="24"/>
          <w:szCs w:val="24"/>
          <w:highlight w:val="none"/>
          <w14:textFill>
            <w14:solidFill>
              <w14:schemeClr w14:val="tx1"/>
            </w14:solidFill>
          </w14:textFill>
        </w:rPr>
        <w:t>股同意，</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1,740,000</w:t>
      </w:r>
      <w:r>
        <w:rPr>
          <w:rFonts w:hint="eastAsia" w:ascii="楷体" w:hAnsi="楷体" w:eastAsia="楷体"/>
          <w:bCs/>
          <w:color w:val="000000" w:themeColor="text1"/>
          <w:sz w:val="24"/>
          <w:szCs w:val="24"/>
          <w:highlight w:val="none"/>
          <w14:textFill>
            <w14:solidFill>
              <w14:schemeClr w14:val="tx1"/>
            </w14:solidFill>
          </w14:textFill>
        </w:rPr>
        <w:t>股反对，</w:t>
      </w:r>
      <w:r>
        <w:rPr>
          <w:rFonts w:hint="eastAsia" w:ascii="楷体" w:hAnsi="楷体" w:eastAsia="楷体"/>
          <w:bCs/>
          <w:color w:val="000000" w:themeColor="text1"/>
          <w:sz w:val="24"/>
          <w:szCs w:val="24"/>
          <w:highlight w:val="none"/>
          <w:u w:val="single"/>
          <w14:textFill>
            <w14:solidFill>
              <w14:schemeClr w14:val="tx1"/>
            </w14:solidFill>
          </w14:textFill>
        </w:rPr>
        <w:t>0</w:t>
      </w:r>
      <w:r>
        <w:rPr>
          <w:rFonts w:hint="eastAsia" w:ascii="楷体" w:hAnsi="楷体" w:eastAsia="楷体"/>
          <w:bCs/>
          <w:color w:val="000000" w:themeColor="text1"/>
          <w:sz w:val="24"/>
          <w:szCs w:val="24"/>
          <w:highlight w:val="none"/>
          <w14:textFill>
            <w14:solidFill>
              <w14:schemeClr w14:val="tx1"/>
            </w14:solidFill>
          </w14:textFill>
        </w:rPr>
        <w:t>股弃权，同意股数占出席本次临时股东大会股东所持有效表决权股份总数的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99.2953</w:t>
      </w:r>
      <w:r>
        <w:rPr>
          <w:rFonts w:hint="eastAsia" w:ascii="楷体" w:hAnsi="楷体" w:eastAsia="楷体"/>
          <w:bCs/>
          <w:color w:val="000000" w:themeColor="text1"/>
          <w:sz w:val="24"/>
          <w:szCs w:val="24"/>
          <w:highlight w:val="none"/>
          <w14:textFill>
            <w14:solidFill>
              <w14:schemeClr w14:val="tx1"/>
            </w14:solidFill>
          </w14:textFill>
        </w:rPr>
        <w:t>%，通过了该项议案。</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lang w:val="en-US" w:eastAsia="zh-CN"/>
          <w14:textFill>
            <w14:solidFill>
              <w14:schemeClr w14:val="tx1"/>
            </w14:solidFill>
          </w14:textFill>
        </w:rPr>
        <w:t>其中，</w:t>
      </w:r>
      <w:r>
        <w:rPr>
          <w:rFonts w:hint="eastAsia" w:ascii="楷体" w:hAnsi="楷体" w:eastAsia="楷体"/>
          <w:bCs/>
          <w:color w:val="000000" w:themeColor="text1"/>
          <w:sz w:val="24"/>
          <w:szCs w:val="24"/>
          <w:highlight w:val="none"/>
          <w14:textFill>
            <w14:solidFill>
              <w14:schemeClr w14:val="tx1"/>
            </w14:solidFill>
          </w14:textFill>
        </w:rPr>
        <w:t>中小投资者表决情况为</w:t>
      </w:r>
      <w:r>
        <w:rPr>
          <w:rFonts w:hint="eastAsia" w:ascii="楷体" w:hAnsi="楷体" w:eastAsia="楷体"/>
          <w:bCs/>
          <w:color w:val="000000" w:themeColor="text1"/>
          <w:sz w:val="24"/>
          <w:szCs w:val="24"/>
          <w:highlight w:val="none"/>
          <w:lang w:eastAsia="zh-CN"/>
          <w14:textFill>
            <w14:solidFill>
              <w14:schemeClr w14:val="tx1"/>
            </w14:solidFill>
          </w14:textFill>
        </w:rPr>
        <w:t>：</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1,308,889</w:t>
      </w:r>
      <w:r>
        <w:rPr>
          <w:rFonts w:hint="eastAsia" w:ascii="楷体" w:hAnsi="楷体" w:eastAsia="楷体"/>
          <w:bCs/>
          <w:color w:val="000000" w:themeColor="text1"/>
          <w:sz w:val="24"/>
          <w:szCs w:val="24"/>
          <w:highlight w:val="none"/>
          <w14:textFill>
            <w14:solidFill>
              <w14:schemeClr w14:val="tx1"/>
            </w14:solidFill>
          </w14:textFill>
        </w:rPr>
        <w:t>股同意，</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1,740,000</w:t>
      </w:r>
      <w:r>
        <w:rPr>
          <w:rFonts w:hint="eastAsia" w:ascii="楷体" w:hAnsi="楷体" w:eastAsia="楷体"/>
          <w:bCs/>
          <w:color w:val="000000" w:themeColor="text1"/>
          <w:sz w:val="24"/>
          <w:szCs w:val="24"/>
          <w:highlight w:val="none"/>
          <w14:textFill>
            <w14:solidFill>
              <w14:schemeClr w14:val="tx1"/>
            </w14:solidFill>
          </w14:textFill>
        </w:rPr>
        <w:t>股反对，</w:t>
      </w:r>
      <w:r>
        <w:rPr>
          <w:rFonts w:ascii="楷体" w:hAnsi="楷体" w:eastAsia="楷体"/>
          <w:bCs/>
          <w:color w:val="000000" w:themeColor="text1"/>
          <w:sz w:val="24"/>
          <w:szCs w:val="24"/>
          <w:highlight w:val="none"/>
          <w:u w:val="single"/>
          <w14:textFill>
            <w14:solidFill>
              <w14:schemeClr w14:val="tx1"/>
            </w14:solidFill>
          </w14:textFill>
        </w:rPr>
        <w:t>0</w:t>
      </w:r>
      <w:r>
        <w:rPr>
          <w:rFonts w:hint="eastAsia" w:ascii="楷体" w:hAnsi="楷体" w:eastAsia="楷体"/>
          <w:bCs/>
          <w:color w:val="000000" w:themeColor="text1"/>
          <w:sz w:val="24"/>
          <w:szCs w:val="24"/>
          <w:highlight w:val="none"/>
          <w14:textFill>
            <w14:solidFill>
              <w14:schemeClr w14:val="tx1"/>
            </w14:solidFill>
          </w14:textFill>
        </w:rPr>
        <w:t>股弃权，同意股数占出席本次股东大会中小投资者所持有效表决权股份总数的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42.9300</w:t>
      </w:r>
      <w:r>
        <w:rPr>
          <w:rFonts w:hint="eastAsia" w:ascii="楷体" w:hAnsi="楷体" w:eastAsia="楷体"/>
          <w:bCs/>
          <w:color w:val="000000" w:themeColor="text1"/>
          <w:sz w:val="24"/>
          <w:szCs w:val="24"/>
          <w:highlight w:val="none"/>
          <w14:textFill>
            <w14:solidFill>
              <w14:schemeClr w14:val="tx1"/>
            </w14:solidFill>
          </w14:textFill>
        </w:rPr>
        <w:t>%。</w:t>
      </w: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r>
        <w:rPr>
          <w:rFonts w:hint="eastAsia" w:ascii="楷体" w:hAnsi="楷体" w:eastAsia="楷体"/>
          <w:b/>
          <w:color w:val="000000" w:themeColor="text1"/>
          <w:sz w:val="24"/>
          <w:szCs w:val="24"/>
          <w14:textFill>
            <w14:solidFill>
              <w14:schemeClr w14:val="tx1"/>
            </w14:solidFill>
          </w14:textFill>
        </w:rPr>
        <w:t>四、结论意见</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基于上述事实，本所律师认为，公司本次临时股东大会的召集召开程序、召集人资格、出席和列席会议的人员资格、会议的表决程序均符合有关法律法规和《公司章程》的有关规定，本次临时股东大会的表决结果合法有效。</w:t>
      </w:r>
      <w:r>
        <w:rPr>
          <w:rFonts w:ascii="楷体" w:hAnsi="楷体" w:eastAsia="楷体"/>
          <w:bCs/>
          <w:color w:val="000000" w:themeColor="text1"/>
          <w:sz w:val="24"/>
          <w:szCs w:val="24"/>
          <w14:textFill>
            <w14:solidFill>
              <w14:schemeClr w14:val="tx1"/>
            </w14:solidFill>
          </w14:textFill>
        </w:rPr>
        <w:t xml:space="preserve"> </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（以下无正文）</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sectPr>
          <w:headerReference r:id="rId3" w:type="default"/>
          <w:footerReference r:id="rId4" w:type="default"/>
          <w:pgSz w:w="11906" w:h="16838"/>
          <w:pgMar w:top="1440" w:right="1800" w:bottom="1440" w:left="1800" w:header="1020" w:footer="283" w:gutter="0"/>
          <w:pgNumType w:start="0"/>
          <w:cols w:space="720" w:num="1"/>
          <w:titlePg/>
          <w:docGrid w:type="lines" w:linePitch="312" w:charSpace="0"/>
        </w:sectPr>
      </w:pP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r>
        <w:rPr>
          <w:rFonts w:hint="eastAsia" w:ascii="楷体" w:hAnsi="楷体" w:eastAsia="楷体"/>
          <w:b/>
          <w:color w:val="000000" w:themeColor="text1"/>
          <w:sz w:val="24"/>
          <w:szCs w:val="24"/>
          <w:lang w:eastAsia="zh-CN"/>
          <w14:textFill>
            <w14:solidFill>
              <w14:schemeClr w14:val="tx1"/>
            </w14:solidFill>
          </w14:textFill>
        </w:rPr>
        <w:t>（</w:t>
      </w:r>
      <w:r>
        <w:rPr>
          <w:rFonts w:ascii="楷体" w:hAnsi="楷体" w:eastAsia="楷体"/>
          <w:b/>
          <w:color w:val="000000" w:themeColor="text1"/>
          <w:sz w:val="24"/>
          <w:szCs w:val="24"/>
          <w14:textFill>
            <w14:solidFill>
              <w14:schemeClr w14:val="tx1"/>
            </w14:solidFill>
          </w14:textFill>
        </w:rPr>
        <w:t>本页无正文，为《北京天达共和（武汉）律师事务所关于中百控股集团股份有限公司202</w:t>
      </w:r>
      <w:r>
        <w:rPr>
          <w:rFonts w:hint="eastAsia" w:ascii="楷体" w:hAnsi="楷体" w:eastAsia="楷体"/>
          <w:b/>
          <w:color w:val="000000" w:themeColor="text1"/>
          <w:sz w:val="24"/>
          <w:szCs w:val="24"/>
          <w:lang w:val="en-US" w:eastAsia="zh-CN"/>
          <w14:textFill>
            <w14:solidFill>
              <w14:schemeClr w14:val="tx1"/>
            </w14:solidFill>
          </w14:textFill>
        </w:rPr>
        <w:t>2</w:t>
      </w:r>
      <w:r>
        <w:rPr>
          <w:rFonts w:ascii="楷体" w:hAnsi="楷体" w:eastAsia="楷体"/>
          <w:b/>
          <w:color w:val="000000" w:themeColor="text1"/>
          <w:sz w:val="24"/>
          <w:szCs w:val="24"/>
          <w14:textFill>
            <w14:solidFill>
              <w14:schemeClr w14:val="tx1"/>
            </w14:solidFill>
          </w14:textFill>
        </w:rPr>
        <w:t>年第</w:t>
      </w:r>
      <w:r>
        <w:rPr>
          <w:rFonts w:hint="eastAsia" w:ascii="楷体" w:hAnsi="楷体" w:eastAsia="楷体"/>
          <w:b/>
          <w:color w:val="000000" w:themeColor="text1"/>
          <w:sz w:val="24"/>
          <w:szCs w:val="24"/>
          <w:lang w:eastAsia="zh-CN"/>
          <w14:textFill>
            <w14:solidFill>
              <w14:schemeClr w14:val="tx1"/>
            </w14:solidFill>
          </w14:textFill>
        </w:rPr>
        <w:t>一</w:t>
      </w:r>
      <w:r>
        <w:rPr>
          <w:rFonts w:hint="eastAsia" w:ascii="楷体" w:hAnsi="楷体" w:eastAsia="楷体"/>
          <w:b/>
          <w:color w:val="000000" w:themeColor="text1"/>
          <w:sz w:val="24"/>
          <w:szCs w:val="24"/>
          <w14:textFill>
            <w14:solidFill>
              <w14:schemeClr w14:val="tx1"/>
            </w14:solidFill>
          </w14:textFill>
        </w:rPr>
        <w:t>次临时股东大会之法律意见书》之签署页</w:t>
      </w:r>
      <w:r>
        <w:rPr>
          <w:rFonts w:hint="eastAsia" w:ascii="楷体" w:hAnsi="楷体" w:eastAsia="楷体"/>
          <w:b/>
          <w:color w:val="000000" w:themeColor="text1"/>
          <w:sz w:val="24"/>
          <w:szCs w:val="24"/>
          <w:lang w:eastAsia="zh-CN"/>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ab/>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r>
        <w:rPr>
          <w:rFonts w:hint="eastAsia" w:ascii="楷体" w:hAnsi="楷体" w:eastAsia="楷体"/>
          <w:b/>
          <w:color w:val="000000" w:themeColor="text1"/>
          <w:sz w:val="24"/>
          <w:szCs w:val="24"/>
          <w14:textFill>
            <w14:solidFill>
              <w14:schemeClr w14:val="tx1"/>
            </w14:solidFill>
          </w14:textFill>
        </w:rPr>
        <w:t>北京天达共和（武汉）律师事务所</w:t>
      </w:r>
      <w:r>
        <w:rPr>
          <w:rFonts w:ascii="楷体" w:hAnsi="楷体" w:eastAsia="楷体"/>
          <w:b/>
          <w:color w:val="000000" w:themeColor="text1"/>
          <w:sz w:val="24"/>
          <w:szCs w:val="24"/>
          <w14:textFill>
            <w14:solidFill>
              <w14:schemeClr w14:val="tx1"/>
            </w14:solidFill>
          </w14:textFill>
        </w:rPr>
        <w:t xml:space="preserve">            </w:t>
      </w:r>
      <w:r>
        <w:rPr>
          <w:rFonts w:hint="eastAsia" w:ascii="楷体" w:hAnsi="楷体" w:eastAsia="楷体"/>
          <w:b/>
          <w:color w:val="000000" w:themeColor="text1"/>
          <w:sz w:val="24"/>
          <w:szCs w:val="24"/>
          <w14:textFill>
            <w14:solidFill>
              <w14:schemeClr w14:val="tx1"/>
            </w14:solidFill>
          </w14:textFill>
        </w:rPr>
        <w:t>负责人：</w:t>
      </w:r>
      <w:r>
        <w:rPr>
          <w:rFonts w:hint="eastAsia" w:ascii="楷体" w:hAnsi="楷体" w:eastAsia="楷体"/>
          <w:b/>
          <w:color w:val="000000" w:themeColor="text1"/>
          <w:sz w:val="24"/>
          <w:szCs w:val="24"/>
          <w:u w:val="single"/>
          <w14:textFill>
            <w14:solidFill>
              <w14:schemeClr w14:val="tx1"/>
            </w14:solidFill>
          </w14:textFill>
        </w:rPr>
        <w:t xml:space="preserve">     刘兆君</w:t>
      </w:r>
      <w:r>
        <w:rPr>
          <w:rFonts w:ascii="楷体" w:hAnsi="楷体" w:eastAsia="楷体"/>
          <w:b/>
          <w:color w:val="000000" w:themeColor="text1"/>
          <w:sz w:val="24"/>
          <w:szCs w:val="24"/>
          <w:u w:val="single"/>
          <w14:textFill>
            <w14:solidFill>
              <w14:schemeClr w14:val="tx1"/>
            </w14:solidFill>
          </w14:textFill>
        </w:rPr>
        <w:t xml:space="preserve"> </w:t>
      </w:r>
      <w:r>
        <w:rPr>
          <w:rFonts w:hint="eastAsia" w:ascii="楷体" w:hAnsi="楷体" w:eastAsia="楷体"/>
          <w:b/>
          <w:color w:val="000000" w:themeColor="text1"/>
          <w:sz w:val="24"/>
          <w:szCs w:val="24"/>
          <w:u w:val="single"/>
          <w:lang w:val="en-US" w:eastAsia="zh-CN"/>
          <w14:textFill>
            <w14:solidFill>
              <w14:schemeClr w14:val="tx1"/>
            </w14:solidFill>
          </w14:textFill>
        </w:rPr>
        <w:t xml:space="preserve"> </w:t>
      </w:r>
      <w:r>
        <w:rPr>
          <w:rFonts w:ascii="楷体" w:hAnsi="楷体" w:eastAsia="楷体"/>
          <w:b/>
          <w:color w:val="000000" w:themeColor="text1"/>
          <w:sz w:val="24"/>
          <w:szCs w:val="24"/>
          <w:u w:val="single"/>
          <w14:textFill>
            <w14:solidFill>
              <w14:schemeClr w14:val="tx1"/>
            </w14:solidFill>
          </w14:textFill>
        </w:rPr>
        <w:t xml:space="preserve">   </w:t>
      </w:r>
      <w:r>
        <w:rPr>
          <w:rFonts w:ascii="楷体" w:hAnsi="楷体" w:eastAsia="楷体"/>
          <w:b/>
          <w:color w:val="000000" w:themeColor="text1"/>
          <w:sz w:val="24"/>
          <w:szCs w:val="24"/>
          <w14:textFill>
            <w14:solidFill>
              <w14:schemeClr w14:val="tx1"/>
            </w14:solidFill>
          </w14:textFill>
        </w:rPr>
        <w:t xml:space="preserve">       </w:t>
      </w: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r>
        <w:rPr>
          <w:rFonts w:ascii="楷体" w:hAnsi="楷体" w:eastAsia="楷体"/>
          <w:b/>
          <w:color w:val="000000" w:themeColor="text1"/>
          <w:sz w:val="24"/>
          <w:szCs w:val="24"/>
          <w14:textFill>
            <w14:solidFill>
              <w14:schemeClr w14:val="tx1"/>
            </w14:solidFill>
          </w14:textFill>
        </w:rPr>
        <w:t xml:space="preserve">                                          经办律师 ：</w:t>
      </w:r>
      <w:r>
        <w:rPr>
          <w:rFonts w:hint="eastAsia" w:ascii="楷体" w:hAnsi="楷体" w:eastAsia="楷体"/>
          <w:b/>
          <w:color w:val="000000" w:themeColor="text1"/>
          <w:sz w:val="24"/>
          <w:szCs w:val="24"/>
          <w:u w:val="single"/>
          <w14:textFill>
            <w14:solidFill>
              <w14:schemeClr w14:val="tx1"/>
            </w14:solidFill>
          </w14:textFill>
        </w:rPr>
        <w:t xml:space="preserve">  </w:t>
      </w:r>
      <w:r>
        <w:rPr>
          <w:rFonts w:hint="eastAsia" w:ascii="楷体" w:hAnsi="楷体" w:eastAsia="楷体"/>
          <w:b/>
          <w:color w:val="000000" w:themeColor="text1"/>
          <w:sz w:val="24"/>
          <w:szCs w:val="24"/>
          <w:u w:val="single"/>
          <w:lang w:val="en-US" w:eastAsia="zh-CN"/>
          <w14:textFill>
            <w14:solidFill>
              <w14:schemeClr w14:val="tx1"/>
            </w14:solidFill>
          </w14:textFill>
        </w:rPr>
        <w:t>桂婷婷</w:t>
      </w:r>
      <w:r>
        <w:rPr>
          <w:rFonts w:ascii="楷体" w:hAnsi="楷体" w:eastAsia="楷体"/>
          <w:b/>
          <w:color w:val="000000" w:themeColor="text1"/>
          <w:sz w:val="24"/>
          <w:szCs w:val="24"/>
          <w:u w:val="single"/>
          <w14:textFill>
            <w14:solidFill>
              <w14:schemeClr w14:val="tx1"/>
            </w14:solidFill>
          </w14:textFill>
        </w:rPr>
        <w:t xml:space="preserve">          </w:t>
      </w:r>
      <w:r>
        <w:rPr>
          <w:rFonts w:ascii="楷体" w:hAnsi="楷体" w:eastAsia="楷体"/>
          <w:b/>
          <w:color w:val="000000" w:themeColor="text1"/>
          <w:sz w:val="24"/>
          <w:szCs w:val="24"/>
          <w14:textFill>
            <w14:solidFill>
              <w14:schemeClr w14:val="tx1"/>
            </w14:solidFill>
          </w14:textFill>
        </w:rPr>
        <w:t xml:space="preserve"> </w:t>
      </w: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r>
        <w:rPr>
          <w:rFonts w:ascii="楷体" w:hAnsi="楷体" w:eastAsia="楷体"/>
          <w:b/>
          <w:color w:val="000000" w:themeColor="text1"/>
          <w:sz w:val="24"/>
          <w:szCs w:val="24"/>
          <w14:textFill>
            <w14:solidFill>
              <w14:schemeClr w14:val="tx1"/>
            </w14:solidFill>
          </w14:textFill>
        </w:rPr>
        <w:t xml:space="preserve">   </w:t>
      </w:r>
    </w:p>
    <w:p>
      <w:pPr>
        <w:spacing w:before="156" w:beforeLines="50" w:after="156" w:afterLines="50" w:line="440" w:lineRule="exact"/>
        <w:ind w:firstLine="482" w:firstLineChars="200"/>
        <w:rPr>
          <w:rFonts w:ascii="楷体" w:hAnsi="楷体" w:eastAsia="楷体"/>
          <w:b/>
          <w:color w:val="000000" w:themeColor="text1"/>
          <w:sz w:val="24"/>
          <w:szCs w:val="24"/>
          <w:u w:val="single"/>
          <w14:textFill>
            <w14:solidFill>
              <w14:schemeClr w14:val="tx1"/>
            </w14:solidFill>
          </w14:textFill>
        </w:rPr>
      </w:pPr>
      <w:r>
        <w:rPr>
          <w:rFonts w:ascii="楷体" w:hAnsi="楷体" w:eastAsia="楷体"/>
          <w:b/>
          <w:color w:val="000000" w:themeColor="text1"/>
          <w:sz w:val="24"/>
          <w:szCs w:val="24"/>
          <w14:textFill>
            <w14:solidFill>
              <w14:schemeClr w14:val="tx1"/>
            </w14:solidFill>
          </w14:textFill>
        </w:rPr>
        <w:t xml:space="preserve">                                          经办律师 ：</w:t>
      </w:r>
      <w:r>
        <w:rPr>
          <w:rFonts w:ascii="楷体" w:hAnsi="楷体" w:eastAsia="楷体"/>
          <w:b/>
          <w:color w:val="000000" w:themeColor="text1"/>
          <w:sz w:val="24"/>
          <w:szCs w:val="24"/>
          <w:u w:val="single"/>
          <w14:textFill>
            <w14:solidFill>
              <w14:schemeClr w14:val="tx1"/>
            </w14:solidFill>
          </w14:textFill>
        </w:rPr>
        <w:t xml:space="preserve">  </w:t>
      </w:r>
      <w:r>
        <w:rPr>
          <w:rFonts w:hint="eastAsia" w:ascii="楷体" w:hAnsi="楷体" w:eastAsia="楷体"/>
          <w:b/>
          <w:color w:val="000000" w:themeColor="text1"/>
          <w:sz w:val="24"/>
          <w:szCs w:val="24"/>
          <w:u w:val="single"/>
          <w:lang w:val="en-US" w:eastAsia="zh-CN"/>
          <w14:textFill>
            <w14:solidFill>
              <w14:schemeClr w14:val="tx1"/>
            </w14:solidFill>
          </w14:textFill>
        </w:rPr>
        <w:t>刘  薇</w:t>
      </w:r>
      <w:r>
        <w:rPr>
          <w:rFonts w:ascii="楷体" w:hAnsi="楷体" w:eastAsia="楷体"/>
          <w:b/>
          <w:color w:val="000000" w:themeColor="text1"/>
          <w:sz w:val="24"/>
          <w:szCs w:val="24"/>
          <w:u w:val="single"/>
          <w14:textFill>
            <w14:solidFill>
              <w14:schemeClr w14:val="tx1"/>
            </w14:solidFill>
          </w14:textFill>
        </w:rPr>
        <w:t xml:space="preserve">             </w:t>
      </w:r>
      <w:r>
        <w:rPr>
          <w:rFonts w:ascii="楷体" w:hAnsi="楷体" w:eastAsia="楷体"/>
          <w:b/>
          <w:color w:val="000000" w:themeColor="text1"/>
          <w:sz w:val="24"/>
          <w:szCs w:val="24"/>
          <w14:textFill>
            <w14:solidFill>
              <w14:schemeClr w14:val="tx1"/>
            </w14:solidFill>
          </w14:textFill>
        </w:rPr>
        <w:t xml:space="preserve"> </w:t>
      </w: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r>
        <w:rPr>
          <w:rFonts w:ascii="楷体" w:hAnsi="楷体" w:eastAsia="楷体"/>
          <w:b/>
          <w:color w:val="000000" w:themeColor="text1"/>
          <w:sz w:val="24"/>
          <w:szCs w:val="24"/>
          <w14:textFill>
            <w14:solidFill>
              <w14:schemeClr w14:val="tx1"/>
            </w14:solidFill>
          </w14:textFill>
        </w:rPr>
        <w:t xml:space="preserve">                                         </w:t>
      </w:r>
    </w:p>
    <w:p>
      <w:pPr>
        <w:spacing w:before="156" w:beforeLines="50" w:after="156" w:afterLines="50" w:line="440" w:lineRule="exact"/>
        <w:ind w:firstLine="5301" w:firstLineChars="2200"/>
        <w:rPr>
          <w:rFonts w:ascii="楷体" w:hAnsi="楷体" w:eastAsia="楷体"/>
          <w:b/>
          <w:color w:val="000000" w:themeColor="text1"/>
          <w:sz w:val="24"/>
          <w:szCs w:val="24"/>
          <w14:textFill>
            <w14:solidFill>
              <w14:schemeClr w14:val="tx1"/>
            </w14:solidFill>
          </w14:textFill>
        </w:rPr>
      </w:pPr>
      <w:r>
        <w:rPr>
          <w:rFonts w:ascii="楷体" w:hAnsi="楷体" w:eastAsia="楷体"/>
          <w:b/>
          <w:color w:val="000000" w:themeColor="text1"/>
          <w:sz w:val="24"/>
          <w:szCs w:val="24"/>
          <w14:textFill>
            <w14:solidFill>
              <w14:schemeClr w14:val="tx1"/>
            </w14:solidFill>
          </w14:textFill>
        </w:rPr>
        <w:t xml:space="preserve">  </w:t>
      </w:r>
      <w:r>
        <w:rPr>
          <w:rFonts w:hint="eastAsia" w:ascii="楷体" w:hAnsi="楷体" w:eastAsia="楷体"/>
          <w:b/>
          <w:color w:val="000000" w:themeColor="text1"/>
          <w:sz w:val="24"/>
          <w:szCs w:val="24"/>
          <w:lang w:val="en-US" w:eastAsia="zh-CN"/>
          <w14:textFill>
            <w14:solidFill>
              <w14:schemeClr w14:val="tx1"/>
            </w14:solidFill>
          </w14:textFill>
        </w:rPr>
        <w:t xml:space="preserve"> </w:t>
      </w:r>
      <w:r>
        <w:rPr>
          <w:rFonts w:ascii="楷体" w:hAnsi="楷体" w:eastAsia="楷体"/>
          <w:b/>
          <w:color w:val="000000" w:themeColor="text1"/>
          <w:sz w:val="24"/>
          <w:szCs w:val="24"/>
          <w14:textFill>
            <w14:solidFill>
              <w14:schemeClr w14:val="tx1"/>
            </w14:solidFill>
          </w14:textFill>
        </w:rPr>
        <w:t>二〇二</w:t>
      </w:r>
      <w:r>
        <w:rPr>
          <w:rFonts w:hint="eastAsia" w:ascii="楷体" w:hAnsi="楷体" w:eastAsia="楷体"/>
          <w:b/>
          <w:color w:val="000000" w:themeColor="text1"/>
          <w:sz w:val="24"/>
          <w:szCs w:val="24"/>
          <w:lang w:eastAsia="zh-CN"/>
          <w14:textFill>
            <w14:solidFill>
              <w14:schemeClr w14:val="tx1"/>
            </w14:solidFill>
          </w14:textFill>
        </w:rPr>
        <w:t>二</w:t>
      </w:r>
      <w:r>
        <w:rPr>
          <w:rFonts w:ascii="楷体" w:hAnsi="楷体" w:eastAsia="楷体"/>
          <w:b/>
          <w:color w:val="000000" w:themeColor="text1"/>
          <w:sz w:val="24"/>
          <w:szCs w:val="24"/>
          <w14:textFill>
            <w14:solidFill>
              <w14:schemeClr w14:val="tx1"/>
            </w14:solidFill>
          </w14:textFill>
        </w:rPr>
        <w:t>年</w:t>
      </w:r>
      <w:r>
        <w:rPr>
          <w:rFonts w:hint="eastAsia" w:ascii="楷体" w:hAnsi="楷体" w:eastAsia="楷体"/>
          <w:b/>
          <w:color w:val="000000" w:themeColor="text1"/>
          <w:sz w:val="24"/>
          <w:szCs w:val="24"/>
          <w:lang w:eastAsia="zh-CN"/>
          <w14:textFill>
            <w14:solidFill>
              <w14:schemeClr w14:val="tx1"/>
            </w14:solidFill>
          </w14:textFill>
        </w:rPr>
        <w:t>五</w:t>
      </w:r>
      <w:r>
        <w:rPr>
          <w:rFonts w:ascii="楷体" w:hAnsi="楷体" w:eastAsia="楷体"/>
          <w:b/>
          <w:color w:val="000000" w:themeColor="text1"/>
          <w:sz w:val="24"/>
          <w:szCs w:val="24"/>
          <w14:textFill>
            <w14:solidFill>
              <w14:schemeClr w14:val="tx1"/>
            </w14:solidFill>
          </w14:textFill>
        </w:rPr>
        <w:t>月</w:t>
      </w:r>
      <w:r>
        <w:rPr>
          <w:rFonts w:hint="eastAsia" w:ascii="楷体" w:hAnsi="楷体" w:eastAsia="楷体"/>
          <w:b/>
          <w:color w:val="000000" w:themeColor="text1"/>
          <w:sz w:val="24"/>
          <w:szCs w:val="24"/>
          <w:lang w:eastAsia="zh-CN"/>
          <w14:textFill>
            <w14:solidFill>
              <w14:schemeClr w14:val="tx1"/>
            </w14:solidFill>
          </w14:textFill>
        </w:rPr>
        <w:t>三十</w:t>
      </w:r>
      <w:r>
        <w:rPr>
          <w:rFonts w:ascii="楷体" w:hAnsi="楷体" w:eastAsia="楷体"/>
          <w:b/>
          <w:color w:val="000000" w:themeColor="text1"/>
          <w:sz w:val="24"/>
          <w:szCs w:val="24"/>
          <w14:textFill>
            <w14:solidFill>
              <w14:schemeClr w14:val="tx1"/>
            </w14:solidFill>
          </w14:textFill>
        </w:rPr>
        <w:t>日</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sectPr>
      <w:headerReference r:id="rId6" w:type="first"/>
      <w:footerReference r:id="rId8" w:type="first"/>
      <w:headerReference r:id="rId5" w:type="default"/>
      <w:footerReference r:id="rId7"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961137"/>
      <w:docPartObj>
        <w:docPartGallery w:val="autotext"/>
      </w:docPartObj>
    </w:sdtPr>
    <w:sdtContent>
      <w:sdt>
        <w:sdtPr>
          <w:id w:val="1728636285"/>
          <w:docPartObj>
            <w:docPartGallery w:val="autotext"/>
          </w:docPartObj>
        </w:sdtPr>
        <w:sdtContent>
          <w:p>
            <w:pPr>
              <w:pStyle w:val="4"/>
              <w:keepNext w:val="0"/>
              <w:keepLines w:val="0"/>
              <w:pageBreakBefore w:val="0"/>
              <w:widowControl w:val="0"/>
              <w:kinsoku/>
              <w:wordWrap/>
              <w:overflowPunct/>
              <w:topLinePunct w:val="0"/>
              <w:autoSpaceDE/>
              <w:autoSpaceDN/>
              <w:bidi w:val="0"/>
              <w:adjustRightInd/>
              <w:snapToGrid w:val="0"/>
              <w:jc w:val="center"/>
              <w:textAlignment w:val="auto"/>
            </w:pP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5041979"/>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0238545"/>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drawing>
        <wp:anchor distT="0" distB="0" distL="114300" distR="114300" simplePos="0" relativeHeight="251664384" behindDoc="1" locked="0" layoutInCell="1" allowOverlap="1">
          <wp:simplePos x="0" y="0"/>
          <wp:positionH relativeFrom="column">
            <wp:posOffset>-995045</wp:posOffset>
          </wp:positionH>
          <wp:positionV relativeFrom="page">
            <wp:posOffset>123190</wp:posOffset>
          </wp:positionV>
          <wp:extent cx="7272020" cy="10325100"/>
          <wp:effectExtent l="0" t="0" r="5080" b="0"/>
          <wp:wrapNone/>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 cstate="print">
                    <a:extLst>
                      <a:ext uri="{28A0092B-C50C-407E-A947-70E740481C1C}">
                        <a14:useLocalDpi xmlns:a14="http://schemas.microsoft.com/office/drawing/2010/main" val="0"/>
                      </a:ext>
                    </a:extLst>
                  </a:blip>
                  <a:srcRect l="600" t="425" r="600" b="387"/>
                  <a:stretch>
                    <a:fillRect/>
                  </a:stretch>
                </pic:blipFill>
                <pic:spPr>
                  <a:xfrm>
                    <a:off x="0" y="0"/>
                    <a:ext cx="7272020" cy="10325100"/>
                  </a:xfrm>
                  <a:prstGeom prst="rect">
                    <a:avLst/>
                  </a:prstGeom>
                  <a:ln>
                    <a:noFill/>
                  </a:ln>
                </pic:spPr>
              </pic:pic>
            </a:graphicData>
          </a:graphic>
        </wp:anchor>
      </w:drawing>
    </w:r>
    <w:r>
      <w:rPr>
        <w:rFonts w:hint="eastAsia"/>
      </w:rPr>
      <w:drawing>
        <wp:anchor distT="0" distB="0" distL="114300" distR="114300" simplePos="0" relativeHeight="251663360" behindDoc="1" locked="0" layoutInCell="1" allowOverlap="1">
          <wp:simplePos x="0" y="0"/>
          <wp:positionH relativeFrom="column">
            <wp:posOffset>-996315</wp:posOffset>
          </wp:positionH>
          <wp:positionV relativeFrom="page">
            <wp:posOffset>191135</wp:posOffset>
          </wp:positionV>
          <wp:extent cx="7272020" cy="10325100"/>
          <wp:effectExtent l="0" t="0" r="508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cstate="print">
                    <a:extLst>
                      <a:ext uri="{28A0092B-C50C-407E-A947-70E740481C1C}">
                        <a14:useLocalDpi xmlns:a14="http://schemas.microsoft.com/office/drawing/2010/main" val="0"/>
                      </a:ext>
                    </a:extLst>
                  </a:blip>
                  <a:srcRect l="600" t="425" r="600" b="387"/>
                  <a:stretch>
                    <a:fillRect/>
                  </a:stretch>
                </pic:blipFill>
                <pic:spPr>
                  <a:xfrm>
                    <a:off x="0" y="0"/>
                    <a:ext cx="7272020" cy="10325100"/>
                  </a:xfrm>
                  <a:prstGeom prst="rect">
                    <a:avLst/>
                  </a:prstGeom>
                  <a:ln>
                    <a:noFill/>
                  </a:ln>
                </pic:spPr>
              </pic:pic>
            </a:graphicData>
          </a:graphic>
        </wp:anchor>
      </w:drawing>
    </w:r>
    <w:r>
      <w:rPr>
        <w:rFonts w:hint="eastAsia"/>
      </w:rPr>
      <w:drawing>
        <wp:anchor distT="0" distB="0" distL="114300" distR="114300" simplePos="0" relativeHeight="251660288" behindDoc="1" locked="0" layoutInCell="1" allowOverlap="1">
          <wp:simplePos x="0" y="0"/>
          <wp:positionH relativeFrom="column">
            <wp:posOffset>-952500</wp:posOffset>
          </wp:positionH>
          <wp:positionV relativeFrom="page">
            <wp:posOffset>139065</wp:posOffset>
          </wp:positionV>
          <wp:extent cx="7202805" cy="1023937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 cstate="print">
                    <a:extLst>
                      <a:ext uri="{28A0092B-C50C-407E-A947-70E740481C1C}">
                        <a14:useLocalDpi xmlns:a14="http://schemas.microsoft.com/office/drawing/2010/main" val="0"/>
                      </a:ext>
                    </a:extLst>
                  </a:blip>
                  <a:srcRect l="719" t="424" r="720" b="509"/>
                  <a:stretch>
                    <a:fillRect/>
                  </a:stretch>
                </pic:blipFill>
                <pic:spPr>
                  <a:xfrm>
                    <a:off x="0" y="0"/>
                    <a:ext cx="7202529" cy="10239555"/>
                  </a:xfrm>
                  <a:prstGeom prst="rect">
                    <a:avLst/>
                  </a:prstGeom>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drawing>
        <wp:anchor distT="0" distB="0" distL="114300" distR="114300" simplePos="0" relativeHeight="251660288" behindDoc="1" locked="0" layoutInCell="1" allowOverlap="1">
          <wp:simplePos x="0" y="0"/>
          <wp:positionH relativeFrom="column">
            <wp:posOffset>-952500</wp:posOffset>
          </wp:positionH>
          <wp:positionV relativeFrom="paragraph">
            <wp:posOffset>-368935</wp:posOffset>
          </wp:positionV>
          <wp:extent cx="7185660" cy="959167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rcRect l="603" t="427" r="603"/>
                  <a:stretch>
                    <a:fillRect/>
                  </a:stretch>
                </pic:blipFill>
                <pic:spPr>
                  <a:xfrm>
                    <a:off x="0" y="0"/>
                    <a:ext cx="7198133" cy="9608697"/>
                  </a:xfrm>
                  <a:prstGeom prst="rect">
                    <a:avLst/>
                  </a:prstGeom>
                  <a:ln>
                    <a:noFill/>
                  </a:ln>
                </pic:spPr>
              </pic:pic>
            </a:graphicData>
          </a:graphic>
        </wp:anchor>
      </w:drawing>
    </w:r>
  </w:p>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rPr>
        <w:rFonts w:hint="eastAsia"/>
      </w:rPr>
      <w:drawing>
        <wp:anchor distT="0" distB="0" distL="114300" distR="114300" simplePos="0" relativeHeight="251662336" behindDoc="1" locked="0" layoutInCell="1" allowOverlap="1">
          <wp:simplePos x="0" y="0"/>
          <wp:positionH relativeFrom="column">
            <wp:posOffset>-996315</wp:posOffset>
          </wp:positionH>
          <wp:positionV relativeFrom="page">
            <wp:posOffset>207010</wp:posOffset>
          </wp:positionV>
          <wp:extent cx="7272020" cy="10325100"/>
          <wp:effectExtent l="0" t="0" r="508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rcRect l="600" t="425" r="600" b="387"/>
                  <a:stretch>
                    <a:fillRect/>
                  </a:stretch>
                </pic:blipFill>
                <pic:spPr>
                  <a:xfrm>
                    <a:off x="0" y="0"/>
                    <a:ext cx="7272020" cy="10325100"/>
                  </a:xfrm>
                  <a:prstGeom prst="rect">
                    <a:avLst/>
                  </a:prstGeom>
                  <a:ln>
                    <a:noFill/>
                  </a:ln>
                </pic:spPr>
              </pic:pic>
            </a:graphicData>
          </a:graphic>
        </wp:anchor>
      </w:drawing>
    </w:r>
    <w:r>
      <w:rPr>
        <w:rFonts w:hint="eastAsia"/>
      </w:rPr>
      <w:drawing>
        <wp:anchor distT="0" distB="0" distL="114300" distR="114300" simplePos="0" relativeHeight="251659264" behindDoc="1" locked="0" layoutInCell="1" allowOverlap="1">
          <wp:simplePos x="0" y="0"/>
          <wp:positionH relativeFrom="column">
            <wp:posOffset>-961390</wp:posOffset>
          </wp:positionH>
          <wp:positionV relativeFrom="page">
            <wp:posOffset>249555</wp:posOffset>
          </wp:positionV>
          <wp:extent cx="7202805" cy="1023937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cstate="print">
                    <a:extLst>
                      <a:ext uri="{28A0092B-C50C-407E-A947-70E740481C1C}">
                        <a14:useLocalDpi xmlns:a14="http://schemas.microsoft.com/office/drawing/2010/main" val="0"/>
                      </a:ext>
                    </a:extLst>
                  </a:blip>
                  <a:srcRect l="719" t="424" r="720" b="509"/>
                  <a:stretch>
                    <a:fillRect/>
                  </a:stretch>
                </pic:blipFill>
                <pic:spPr>
                  <a:xfrm>
                    <a:off x="0" y="0"/>
                    <a:ext cx="7201883" cy="10238636"/>
                  </a:xfrm>
                  <a:prstGeom prst="rect">
                    <a:avLst/>
                  </a:prstGeom>
                  <a:ln>
                    <a:noFill/>
                  </a:ln>
                </pic:spPr>
              </pic:pic>
            </a:graphicData>
          </a:graphic>
        </wp:anchor>
      </w:drawing>
    </w:r>
  </w:p>
  <w:p>
    <w:pPr>
      <w:pStyle w:val="5"/>
      <w:pBdr>
        <w:bottom w:val="none" w:color="auto" w:sz="0" w:space="0"/>
      </w:pBdr>
    </w:pPr>
  </w:p>
  <w:p>
    <w:pPr>
      <w:pStyle w:val="5"/>
      <w:pBdr>
        <w:bottom w:val="none" w:color="auto" w:sz="0" w:space="0"/>
      </w:pBdr>
    </w:pPr>
  </w:p>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78A53"/>
    <w:multiLevelType w:val="singleLevel"/>
    <w:tmpl w:val="AAD78A53"/>
    <w:lvl w:ilvl="0" w:tentative="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YmQ2ZDI5NTY5ODZhYmZiNTg1MWIwOWQ4ZmRhOTkifQ=="/>
  </w:docVars>
  <w:rsids>
    <w:rsidRoot w:val="00CD647E"/>
    <w:rsid w:val="00004031"/>
    <w:rsid w:val="00004CD7"/>
    <w:rsid w:val="000227E8"/>
    <w:rsid w:val="00027DA7"/>
    <w:rsid w:val="00031288"/>
    <w:rsid w:val="000652B1"/>
    <w:rsid w:val="00075F2B"/>
    <w:rsid w:val="000D5D4A"/>
    <w:rsid w:val="00197224"/>
    <w:rsid w:val="001B3ABE"/>
    <w:rsid w:val="001B65F0"/>
    <w:rsid w:val="001C1940"/>
    <w:rsid w:val="001D24B4"/>
    <w:rsid w:val="001D61BA"/>
    <w:rsid w:val="001F2D94"/>
    <w:rsid w:val="001F3128"/>
    <w:rsid w:val="002458E8"/>
    <w:rsid w:val="002739C4"/>
    <w:rsid w:val="002927B3"/>
    <w:rsid w:val="002B0FCE"/>
    <w:rsid w:val="002E7C5F"/>
    <w:rsid w:val="00373D6F"/>
    <w:rsid w:val="00376FCB"/>
    <w:rsid w:val="003B217D"/>
    <w:rsid w:val="003E6380"/>
    <w:rsid w:val="003F1B40"/>
    <w:rsid w:val="00400862"/>
    <w:rsid w:val="00431DC2"/>
    <w:rsid w:val="00464218"/>
    <w:rsid w:val="00467C6A"/>
    <w:rsid w:val="004A528D"/>
    <w:rsid w:val="004C0769"/>
    <w:rsid w:val="004E34C7"/>
    <w:rsid w:val="004F6B80"/>
    <w:rsid w:val="00512F11"/>
    <w:rsid w:val="005216EB"/>
    <w:rsid w:val="00532ED6"/>
    <w:rsid w:val="00581F62"/>
    <w:rsid w:val="005C7343"/>
    <w:rsid w:val="005D1CA5"/>
    <w:rsid w:val="005E2F5C"/>
    <w:rsid w:val="006112A4"/>
    <w:rsid w:val="00620DF4"/>
    <w:rsid w:val="00621CD1"/>
    <w:rsid w:val="0066758A"/>
    <w:rsid w:val="006710B1"/>
    <w:rsid w:val="00687A36"/>
    <w:rsid w:val="006E7F19"/>
    <w:rsid w:val="006F3891"/>
    <w:rsid w:val="0070606E"/>
    <w:rsid w:val="0072573C"/>
    <w:rsid w:val="007B06A7"/>
    <w:rsid w:val="007B0BD1"/>
    <w:rsid w:val="007C3D61"/>
    <w:rsid w:val="007D4BF8"/>
    <w:rsid w:val="007D79DE"/>
    <w:rsid w:val="0080367A"/>
    <w:rsid w:val="00816383"/>
    <w:rsid w:val="00826C85"/>
    <w:rsid w:val="00870855"/>
    <w:rsid w:val="008847A5"/>
    <w:rsid w:val="008B0117"/>
    <w:rsid w:val="008C06AD"/>
    <w:rsid w:val="008E3D30"/>
    <w:rsid w:val="00945E25"/>
    <w:rsid w:val="00987AB5"/>
    <w:rsid w:val="009F7519"/>
    <w:rsid w:val="00A3613E"/>
    <w:rsid w:val="00A36D56"/>
    <w:rsid w:val="00A7736B"/>
    <w:rsid w:val="00A96D06"/>
    <w:rsid w:val="00AE2C90"/>
    <w:rsid w:val="00AE3BED"/>
    <w:rsid w:val="00AF470B"/>
    <w:rsid w:val="00B06BF6"/>
    <w:rsid w:val="00B258A3"/>
    <w:rsid w:val="00B91C31"/>
    <w:rsid w:val="00B944D8"/>
    <w:rsid w:val="00BA28A8"/>
    <w:rsid w:val="00BB135E"/>
    <w:rsid w:val="00BB6AF1"/>
    <w:rsid w:val="00BC4E68"/>
    <w:rsid w:val="00BC5755"/>
    <w:rsid w:val="00BE38A1"/>
    <w:rsid w:val="00BF1C56"/>
    <w:rsid w:val="00C85A03"/>
    <w:rsid w:val="00CC2D0C"/>
    <w:rsid w:val="00CD647E"/>
    <w:rsid w:val="00D025A1"/>
    <w:rsid w:val="00D34C36"/>
    <w:rsid w:val="00D90513"/>
    <w:rsid w:val="00E17A17"/>
    <w:rsid w:val="00E628BA"/>
    <w:rsid w:val="00EB2E5A"/>
    <w:rsid w:val="00F50B0F"/>
    <w:rsid w:val="00F865E3"/>
    <w:rsid w:val="00FA12A9"/>
    <w:rsid w:val="00FA3BFA"/>
    <w:rsid w:val="00FB08D8"/>
    <w:rsid w:val="06FB6E3F"/>
    <w:rsid w:val="1B4C57EB"/>
    <w:rsid w:val="1C3D22F2"/>
    <w:rsid w:val="2858187A"/>
    <w:rsid w:val="32D00731"/>
    <w:rsid w:val="357E67E6"/>
    <w:rsid w:val="3FBE5B38"/>
    <w:rsid w:val="463601CE"/>
    <w:rsid w:val="467623D2"/>
    <w:rsid w:val="6B151146"/>
    <w:rsid w:val="6FD66E59"/>
    <w:rsid w:val="79760EAD"/>
    <w:rsid w:val="7AA67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8"/>
    <w:link w:val="2"/>
    <w:semiHidden/>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3198</Words>
  <Characters>3420</Characters>
  <Lines>41</Lines>
  <Paragraphs>11</Paragraphs>
  <TotalTime>5</TotalTime>
  <ScaleCrop>false</ScaleCrop>
  <LinksUpToDate>false</LinksUpToDate>
  <CharactersWithSpaces>3622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2017-01-12T08:51:00Z</dcterms:created>
  <dc:creator>胡洁</dc:creator>
  <cp:lastModifiedBy>王茂</cp:lastModifiedBy>
  <cp:lastPrinted>2022-05-30T02:15:00Z</cp:lastPrinted>
  <dcterms:modified xsi:type="dcterms:W3CDTF">2022-05-30T10:24:37Z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CBC365F5420A4B298A26FB3D91D806A0</vt:lpwstr>
  </property>
</Properties>
</file>