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Theme="minorEastAsia" w:hAnsiTheme="minorEastAsia" w:eastAsiaTheme="minorEastAsia"/>
          <w:kern w:val="0"/>
          <w:sz w:val="24"/>
          <w:lang w:val="en-US" w:eastAsia="zh-CN"/>
        </w:rPr>
      </w:pPr>
      <w:r>
        <w:rPr>
          <w:rFonts w:asciiTheme="minorEastAsia" w:hAnsiTheme="minorEastAsia" w:eastAsiaTheme="minorEastAsia"/>
          <w:kern w:val="0"/>
          <w:sz w:val="24"/>
        </w:rPr>
        <w:t>证券代码：000759         证券简称：中百集团        公告编号：20</w:t>
      </w:r>
      <w:r>
        <w:rPr>
          <w:rFonts w:hint="eastAsia" w:asciiTheme="minorEastAsia" w:hAnsiTheme="minorEastAsia" w:eastAsiaTheme="minorEastAsia"/>
          <w:kern w:val="0"/>
          <w:sz w:val="24"/>
        </w:rPr>
        <w:t>22</w:t>
      </w:r>
      <w:r>
        <w:rPr>
          <w:rFonts w:asciiTheme="minorEastAsia" w:hAnsiTheme="minorEastAsia" w:eastAsiaTheme="minorEastAsia"/>
          <w:kern w:val="0"/>
          <w:sz w:val="24"/>
        </w:rPr>
        <w:t>-0</w:t>
      </w:r>
      <w:r>
        <w:rPr>
          <w:rFonts w:hint="eastAsia" w:asciiTheme="minorEastAsia" w:hAnsiTheme="minorEastAsia" w:eastAsiaTheme="minorEastAsia"/>
          <w:kern w:val="0"/>
          <w:sz w:val="24"/>
          <w:lang w:val="en-US" w:eastAsia="zh-CN"/>
        </w:rPr>
        <w:t>27</w:t>
      </w:r>
    </w:p>
    <w:p>
      <w:pPr>
        <w:adjustRightInd w:val="0"/>
        <w:snapToGrid w:val="0"/>
        <w:jc w:val="center"/>
        <w:rPr>
          <w:kern w:val="0"/>
          <w:sz w:val="24"/>
        </w:rPr>
      </w:pPr>
    </w:p>
    <w:p>
      <w:pPr>
        <w:pStyle w:val="13"/>
        <w:snapToGrid w:val="0"/>
        <w:jc w:val="center"/>
        <w:rPr>
          <w:rFonts w:ascii="Times New Roman" w:hAnsi="Times New Roman" w:cs="Times New Roman"/>
          <w:sz w:val="36"/>
          <w:szCs w:val="36"/>
        </w:rPr>
      </w:pPr>
      <w:r>
        <w:rPr>
          <w:rFonts w:ascii="Times New Roman" w:hAnsi="Times New Roman" w:cs="Times New Roman"/>
          <w:sz w:val="36"/>
          <w:szCs w:val="36"/>
        </w:rPr>
        <w:t>中百控股集团股份有限公司</w:t>
      </w:r>
    </w:p>
    <w:p>
      <w:pPr>
        <w:pStyle w:val="13"/>
        <w:snapToGrid w:val="0"/>
        <w:jc w:val="center"/>
        <w:rPr>
          <w:rFonts w:ascii="Times New Roman" w:hAnsi="Times New Roman" w:cs="Times New Roman"/>
          <w:sz w:val="36"/>
          <w:szCs w:val="36"/>
        </w:rPr>
      </w:pPr>
      <w:r>
        <w:rPr>
          <w:rFonts w:hint="eastAsia" w:ascii="Times New Roman" w:hAnsi="Times New Roman" w:cs="Times New Roman"/>
          <w:sz w:val="36"/>
          <w:szCs w:val="36"/>
        </w:rPr>
        <w:t>关于解散清算参股公司暨关联交易的公告</w:t>
      </w:r>
    </w:p>
    <w:p>
      <w:pPr>
        <w:pStyle w:val="13"/>
        <w:snapToGrid w:val="0"/>
        <w:jc w:val="center"/>
        <w:rPr>
          <w:rFonts w:ascii="Times New Roman" w:hAnsi="Times New Roman" w:cs="Times New Roman"/>
          <w:sz w:val="36"/>
          <w:szCs w:val="36"/>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3"/>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spacing w:line="360" w:lineRule="auto"/>
      </w:pPr>
    </w:p>
    <w:p>
      <w:pPr>
        <w:adjustRightInd w:val="0"/>
        <w:snapToGrid w:val="0"/>
        <w:spacing w:line="440" w:lineRule="exact"/>
        <w:ind w:firstLine="480" w:firstLineChars="20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一、关联交易情况概述</w:t>
      </w:r>
    </w:p>
    <w:p>
      <w:pPr>
        <w:adjustRightInd w:val="0"/>
        <w:snapToGrid w:val="0"/>
        <w:spacing w:line="440" w:lineRule="exact"/>
        <w:ind w:firstLine="480" w:firstLineChars="200"/>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供销中百支付有限公司（以下简称“供销中百”）其前身为中百电子支付服务有限公司（以下简称“中百支付”），中百支付是中百控股集团股份有限公司（以下简称“公司”）全资子公司。</w:t>
      </w:r>
    </w:p>
    <w:p>
      <w:pPr>
        <w:adjustRightInd w:val="0"/>
        <w:snapToGrid w:val="0"/>
        <w:spacing w:line="440" w:lineRule="exact"/>
        <w:ind w:firstLine="480" w:firstLineChars="200"/>
        <w:jc w:val="left"/>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201</w:t>
      </w:r>
      <w:r>
        <w:rPr>
          <w:rFonts w:hint="eastAsia" w:asciiTheme="minorEastAsia" w:hAnsiTheme="minorEastAsia"/>
          <w:color w:val="000000" w:themeColor="text1"/>
          <w:sz w:val="24"/>
          <w14:textFill>
            <w14:solidFill>
              <w14:schemeClr w14:val="tx1"/>
            </w14:solidFill>
          </w14:textFill>
        </w:rPr>
        <w:t>6</w:t>
      </w:r>
      <w:r>
        <w:rPr>
          <w:rFonts w:asciiTheme="minorEastAsia" w:hAnsiTheme="minorEastAsia"/>
          <w:color w:val="000000" w:themeColor="text1"/>
          <w:sz w:val="24"/>
          <w14:textFill>
            <w14:solidFill>
              <w14:schemeClr w14:val="tx1"/>
            </w14:solidFill>
          </w14:textFill>
        </w:rPr>
        <w:t>年</w:t>
      </w:r>
      <w:r>
        <w:rPr>
          <w:rFonts w:hint="eastAsia" w:asciiTheme="minorEastAsia" w:hAnsiTheme="minorEastAsia"/>
          <w:color w:val="000000" w:themeColor="text1"/>
          <w:sz w:val="24"/>
          <w14:textFill>
            <w14:solidFill>
              <w14:schemeClr w14:val="tx1"/>
            </w14:solidFill>
          </w14:textFill>
        </w:rPr>
        <w:t>5</w:t>
      </w:r>
      <w:r>
        <w:rPr>
          <w:rFonts w:asciiTheme="minorEastAsia" w:hAnsiTheme="minorEastAsia"/>
          <w:color w:val="000000" w:themeColor="text1"/>
          <w:sz w:val="24"/>
          <w14:textFill>
            <w14:solidFill>
              <w14:schemeClr w14:val="tx1"/>
            </w14:solidFill>
          </w14:textFill>
        </w:rPr>
        <w:t>月</w:t>
      </w:r>
      <w:r>
        <w:rPr>
          <w:rFonts w:hint="eastAsia" w:asciiTheme="minorEastAsia" w:hAnsiTheme="minorEastAsia"/>
          <w:color w:val="000000" w:themeColor="text1"/>
          <w:sz w:val="24"/>
          <w14:textFill>
            <w14:solidFill>
              <w14:schemeClr w14:val="tx1"/>
            </w14:solidFill>
          </w14:textFill>
        </w:rPr>
        <w:t>24</w:t>
      </w:r>
      <w:r>
        <w:rPr>
          <w:rFonts w:asciiTheme="minorEastAsia" w:hAnsiTheme="minorEastAsia"/>
          <w:color w:val="000000" w:themeColor="text1"/>
          <w:sz w:val="24"/>
          <w14:textFill>
            <w14:solidFill>
              <w14:schemeClr w14:val="tx1"/>
            </w14:solidFill>
          </w14:textFill>
        </w:rPr>
        <w:t>日</w:t>
      </w: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公司</w:t>
      </w:r>
      <w:r>
        <w:rPr>
          <w:rFonts w:hint="eastAsia" w:asciiTheme="minorEastAsia" w:hAnsiTheme="minorEastAsia"/>
          <w:color w:val="000000" w:themeColor="text1"/>
          <w:sz w:val="24"/>
          <w14:textFill>
            <w14:solidFill>
              <w14:schemeClr w14:val="tx1"/>
            </w14:solidFill>
          </w14:textFill>
        </w:rPr>
        <w:t>2015年年度股东大会</w:t>
      </w:r>
      <w:r>
        <w:rPr>
          <w:rFonts w:asciiTheme="minorEastAsia" w:hAnsiTheme="minorEastAsia"/>
          <w:color w:val="000000" w:themeColor="text1"/>
          <w:sz w:val="24"/>
          <w14:textFill>
            <w14:solidFill>
              <w14:schemeClr w14:val="tx1"/>
            </w14:solidFill>
          </w14:textFill>
        </w:rPr>
        <w:t>审议</w:t>
      </w:r>
      <w:r>
        <w:rPr>
          <w:rFonts w:hint="eastAsia" w:asciiTheme="minorEastAsia" w:hAnsiTheme="minorEastAsia"/>
          <w:color w:val="000000" w:themeColor="text1"/>
          <w:sz w:val="24"/>
          <w14:textFill>
            <w14:solidFill>
              <w14:schemeClr w14:val="tx1"/>
            </w14:solidFill>
          </w14:textFill>
        </w:rPr>
        <w:t>通过了</w:t>
      </w:r>
      <w:r>
        <w:rPr>
          <w:rFonts w:asciiTheme="minorEastAsia" w:hAnsiTheme="minorEastAsia"/>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关于合作投资中百电子支付服务有限公司的议案</w:t>
      </w:r>
      <w:r>
        <w:rPr>
          <w:rFonts w:asciiTheme="minorEastAsia" w:hAnsiTheme="minorEastAsia"/>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，按照各方签订的《股权转让及增资扩股协议》，公司将中百支付部分股权转让给</w:t>
      </w:r>
      <w:r>
        <w:rPr>
          <w:rFonts w:asciiTheme="minorEastAsia" w:hAnsiTheme="minorEastAsia"/>
          <w:color w:val="000000" w:themeColor="text1"/>
          <w:sz w:val="24"/>
          <w14:textFill>
            <w14:solidFill>
              <w14:schemeClr w14:val="tx1"/>
            </w14:solidFill>
          </w14:textFill>
        </w:rPr>
        <w:t>武汉国创资本投资有限公司</w:t>
      </w:r>
      <w:r>
        <w:rPr>
          <w:rFonts w:hint="eastAsia" w:asciiTheme="minorEastAsia" w:hAnsiTheme="minorEastAsia"/>
          <w:color w:val="000000" w:themeColor="text1"/>
          <w:sz w:val="24"/>
          <w14:textFill>
            <w14:solidFill>
              <w14:schemeClr w14:val="tx1"/>
            </w14:solidFill>
          </w14:textFill>
        </w:rPr>
        <w:t>（以下简称“国创资本”）、</w:t>
      </w:r>
      <w:r>
        <w:rPr>
          <w:rFonts w:asciiTheme="minorEastAsia" w:hAnsiTheme="minorEastAsia"/>
          <w:color w:val="000000" w:themeColor="text1"/>
          <w:sz w:val="24"/>
          <w14:textFill>
            <w14:solidFill>
              <w14:schemeClr w14:val="tx1"/>
            </w14:solidFill>
          </w14:textFill>
        </w:rPr>
        <w:t>湖北合作投资集团有限公司等</w:t>
      </w:r>
      <w:r>
        <w:rPr>
          <w:rFonts w:hint="eastAsia" w:asciiTheme="minorEastAsia" w:hAnsiTheme="minorEastAsia"/>
          <w:color w:val="000000" w:themeColor="text1"/>
          <w:sz w:val="24"/>
          <w14:textFill>
            <w14:solidFill>
              <w14:schemeClr w14:val="tx1"/>
            </w14:solidFill>
          </w14:textFill>
        </w:rPr>
        <w:t>其他各方，同时按照协议，股权转让完成后，各方对中百支付进行同比例增资，此次</w:t>
      </w:r>
      <w:r>
        <w:rPr>
          <w:rFonts w:asciiTheme="minorEastAsia" w:hAnsiTheme="minorEastAsia"/>
          <w:color w:val="000000" w:themeColor="text1"/>
          <w:sz w:val="24"/>
          <w14:textFill>
            <w14:solidFill>
              <w14:schemeClr w14:val="tx1"/>
            </w14:solidFill>
          </w14:textFill>
        </w:rPr>
        <w:t>增资完成后，公司及二级全资子公司武汉汉鹏物流发展有限责任公司合计持有中百支付</w:t>
      </w:r>
      <w:r>
        <w:rPr>
          <w:rFonts w:hint="eastAsia" w:asciiTheme="minorEastAsia" w:hAnsiTheme="minorEastAsia"/>
          <w:color w:val="000000" w:themeColor="text1"/>
          <w:sz w:val="24"/>
          <w14:textFill>
            <w14:solidFill>
              <w14:schemeClr w14:val="tx1"/>
            </w14:solidFill>
          </w14:textFill>
        </w:rPr>
        <w:t>35%股份，中百支付成为公司参股子公司。2</w:t>
      </w:r>
      <w:r>
        <w:rPr>
          <w:rFonts w:asciiTheme="minorEastAsia" w:hAnsiTheme="minorEastAsia"/>
          <w:color w:val="000000" w:themeColor="text1"/>
          <w:sz w:val="24"/>
          <w14:textFill>
            <w14:solidFill>
              <w14:schemeClr w14:val="tx1"/>
            </w14:solidFill>
          </w14:textFill>
        </w:rPr>
        <w:t>017</w:t>
      </w:r>
      <w:r>
        <w:rPr>
          <w:rFonts w:hint="eastAsia" w:asciiTheme="minorEastAsia" w:hAnsiTheme="minorEastAsia"/>
          <w:color w:val="000000" w:themeColor="text1"/>
          <w:sz w:val="24"/>
          <w14:textFill>
            <w14:solidFill>
              <w14:schemeClr w14:val="tx1"/>
            </w14:solidFill>
          </w14:textFill>
        </w:rPr>
        <w:t>年</w:t>
      </w:r>
      <w:r>
        <w:rPr>
          <w:rFonts w:asciiTheme="minorEastAsia" w:hAnsiTheme="minorEastAsia"/>
          <w:color w:val="000000" w:themeColor="text1"/>
          <w:sz w:val="24"/>
          <w14:textFill>
            <w14:solidFill>
              <w14:schemeClr w14:val="tx1"/>
            </w14:solidFill>
          </w14:textFill>
        </w:rPr>
        <w:t>5</w:t>
      </w:r>
      <w:r>
        <w:rPr>
          <w:rFonts w:hint="eastAsia" w:asciiTheme="minorEastAsia" w:hAnsiTheme="minorEastAsia"/>
          <w:color w:val="000000" w:themeColor="text1"/>
          <w:sz w:val="24"/>
          <w14:textFill>
            <w14:solidFill>
              <w14:schemeClr w14:val="tx1"/>
            </w14:solidFill>
          </w14:textFill>
        </w:rPr>
        <w:t>月中百支付更名为供销中百支付有限公司，主要从事</w:t>
      </w:r>
      <w:r>
        <w:rPr>
          <w:rFonts w:asciiTheme="minorEastAsia" w:hAnsiTheme="minorEastAsia"/>
          <w:color w:val="000000" w:themeColor="text1"/>
          <w:sz w:val="24"/>
          <w14:textFill>
            <w14:solidFill>
              <w14:schemeClr w14:val="tx1"/>
            </w14:solidFill>
          </w14:textFill>
        </w:rPr>
        <w:t>湖北省内预付卡发行与受理</w:t>
      </w:r>
      <w:r>
        <w:rPr>
          <w:rFonts w:hint="eastAsia" w:asciiTheme="minorEastAsia" w:hAnsiTheme="minorEastAsia"/>
          <w:color w:val="000000" w:themeColor="text1"/>
          <w:sz w:val="24"/>
          <w14:textFill>
            <w14:solidFill>
              <w14:schemeClr w14:val="tx1"/>
            </w14:solidFill>
          </w14:textFill>
        </w:rPr>
        <w:t>，第三方支付业务。</w:t>
      </w:r>
    </w:p>
    <w:p>
      <w:pPr>
        <w:adjustRightInd w:val="0"/>
        <w:snapToGrid w:val="0"/>
        <w:spacing w:line="440" w:lineRule="exact"/>
        <w:ind w:firstLine="480" w:firstLineChars="200"/>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由于近几年支付政策环境发生重大变化</w:t>
      </w:r>
      <w:r>
        <w:rPr>
          <w:rFonts w:hint="eastAsia" w:asciiTheme="minorEastAsia" w:hAnsiTheme="minorEastAsia"/>
          <w:color w:val="000000" w:themeColor="text1"/>
          <w:sz w:val="24"/>
          <w:lang w:eastAsia="zh-CN"/>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且供销中百牌照类型单一，多次增项未获批准，供销中百设立时预设的盈利模式不再成立，缺乏可持续健康发展的基础，经股东提议，现拟同意其解散清算。</w:t>
      </w:r>
    </w:p>
    <w:p>
      <w:pPr>
        <w:adjustRightInd w:val="0"/>
        <w:snapToGrid w:val="0"/>
        <w:spacing w:line="440" w:lineRule="exact"/>
        <w:ind w:firstLine="480" w:firstLineChars="200"/>
        <w:jc w:val="left"/>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公司</w:t>
      </w:r>
      <w:r>
        <w:rPr>
          <w:rFonts w:hint="eastAsia" w:asciiTheme="minorEastAsia" w:hAnsiTheme="minorEastAsia"/>
          <w:color w:val="000000" w:themeColor="text1"/>
          <w:sz w:val="24"/>
          <w14:textFill>
            <w14:solidFill>
              <w14:schemeClr w14:val="tx1"/>
            </w14:solidFill>
          </w14:textFill>
        </w:rPr>
        <w:t>第一大</w:t>
      </w:r>
      <w:r>
        <w:rPr>
          <w:rFonts w:asciiTheme="minorEastAsia" w:hAnsiTheme="minorEastAsia"/>
          <w:color w:val="000000" w:themeColor="text1"/>
          <w:sz w:val="24"/>
          <w14:textFill>
            <w14:solidFill>
              <w14:schemeClr w14:val="tx1"/>
            </w14:solidFill>
          </w14:textFill>
        </w:rPr>
        <w:t>股东</w:t>
      </w:r>
      <w:r>
        <w:rPr>
          <w:rFonts w:hint="eastAsia" w:asciiTheme="minorEastAsia" w:hAnsiTheme="minorEastAsia"/>
          <w:color w:val="000000" w:themeColor="text1"/>
          <w:sz w:val="24"/>
          <w14:textFill>
            <w14:solidFill>
              <w14:schemeClr w14:val="tx1"/>
            </w14:solidFill>
          </w14:textFill>
        </w:rPr>
        <w:t>武汉商联（集团）股份有限公司的控股股东武汉商贸集团有限公司同为国创资本的控股股东，本次清算属于关联投资的进展事项，</w:t>
      </w:r>
      <w:r>
        <w:rPr>
          <w:rFonts w:asciiTheme="minorEastAsia" w:hAnsiTheme="minorEastAsia"/>
          <w:color w:val="000000" w:themeColor="text1"/>
          <w:sz w:val="24"/>
          <w14:textFill>
            <w14:solidFill>
              <w14:schemeClr w14:val="tx1"/>
            </w14:solidFill>
          </w14:textFill>
        </w:rPr>
        <w:t>根据《深圳证券交易所股票上市规则》和《公司章程》的规定，</w:t>
      </w:r>
      <w:r>
        <w:rPr>
          <w:rFonts w:hint="eastAsia" w:asciiTheme="minorEastAsia" w:hAnsiTheme="minorEastAsia"/>
          <w:color w:val="000000" w:themeColor="text1"/>
          <w:sz w:val="24"/>
          <w14:textFill>
            <w14:solidFill>
              <w14:schemeClr w14:val="tx1"/>
            </w14:solidFill>
          </w14:textFill>
        </w:rPr>
        <w:t>需</w:t>
      </w:r>
      <w:r>
        <w:rPr>
          <w:rFonts w:asciiTheme="minorEastAsia" w:hAnsiTheme="minorEastAsia"/>
          <w:color w:val="000000" w:themeColor="text1"/>
          <w:sz w:val="24"/>
          <w14:textFill>
            <w14:solidFill>
              <w14:schemeClr w14:val="tx1"/>
            </w14:solidFill>
          </w14:textFill>
        </w:rPr>
        <w:t>提交公司董事会审议</w:t>
      </w: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本次</w:t>
      </w:r>
      <w:r>
        <w:rPr>
          <w:rFonts w:hint="eastAsia" w:asciiTheme="minorEastAsia" w:hAnsiTheme="minorEastAsia"/>
          <w:color w:val="000000" w:themeColor="text1"/>
          <w:sz w:val="24"/>
          <w14:textFill>
            <w14:solidFill>
              <w14:schemeClr w14:val="tx1"/>
            </w14:solidFill>
          </w14:textFill>
        </w:rPr>
        <w:t>清算</w:t>
      </w:r>
      <w:r>
        <w:rPr>
          <w:rFonts w:asciiTheme="minorEastAsia" w:hAnsiTheme="minorEastAsia"/>
          <w:color w:val="000000" w:themeColor="text1"/>
          <w:sz w:val="24"/>
          <w14:textFill>
            <w14:solidFill>
              <w14:schemeClr w14:val="tx1"/>
            </w14:solidFill>
          </w14:textFill>
        </w:rPr>
        <w:t>事项不构成《上市公司重大资产重组管理办法》规定的重大资产重组</w:t>
      </w: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无需提交股东大会审议</w:t>
      </w:r>
      <w:r>
        <w:rPr>
          <w:rFonts w:hint="eastAsia" w:asciiTheme="minorEastAsia" w:hAnsiTheme="minorEastAsia"/>
          <w:color w:val="000000" w:themeColor="text1"/>
          <w:sz w:val="24"/>
          <w14:textFill>
            <w14:solidFill>
              <w14:schemeClr w14:val="tx1"/>
            </w14:solidFill>
          </w14:textFill>
        </w:rPr>
        <w:t>，供销中百持有第三方支付牌照，其清算注销尚需经中国人民银行总行批准。</w:t>
      </w:r>
    </w:p>
    <w:p>
      <w:pPr>
        <w:adjustRightInd w:val="0"/>
        <w:snapToGrid w:val="0"/>
        <w:spacing w:line="440" w:lineRule="exact"/>
        <w:ind w:firstLine="480" w:firstLineChars="200"/>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二、</w:t>
      </w:r>
      <w:r>
        <w:rPr>
          <w:rFonts w:hint="eastAsia" w:ascii="黑体" w:hAnsi="黑体" w:eastAsia="黑体"/>
          <w:color w:val="000000" w:themeColor="text1"/>
          <w:sz w:val="24"/>
          <w14:textFill>
            <w14:solidFill>
              <w14:schemeClr w14:val="tx1"/>
            </w14:solidFill>
          </w14:textFill>
        </w:rPr>
        <w:t>交易对手方基本情况</w:t>
      </w:r>
      <w:r>
        <w:rPr>
          <w:rFonts w:ascii="黑体" w:hAnsi="黑体" w:eastAsia="黑体"/>
          <w:color w:val="000000" w:themeColor="text1"/>
          <w:sz w:val="24"/>
          <w14:textFill>
            <w14:solidFill>
              <w14:schemeClr w14:val="tx1"/>
            </w14:solidFill>
          </w14:textFill>
        </w:rPr>
        <w:t>介绍</w:t>
      </w:r>
    </w:p>
    <w:p>
      <w:pPr>
        <w:adjustRightInd w:val="0"/>
        <w:snapToGrid w:val="0"/>
        <w:spacing w:line="440" w:lineRule="exact"/>
        <w:ind w:firstLine="480" w:firstLineChars="20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（一） 武汉国创资本投资有限公司（关联方）</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企业类型：有限责任公司（非自然人投资或控股的法人独资）</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注册地址：武汉东湖新技术开发区武大园路8号武大科技园一号生产楼3楼2号(工位号106-1)</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法定代表人：黄其龙</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注册资本：226,888.8889万元</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统一社会信用代码：914201000591964661</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成立日期：2013年2月4日</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经营范围：对金融服务业投资、实业投资；受托资产管理与咨询(不得从事吸收公众存款或变相吸收公众存款，不得从事发放贷款等金融业务)。（依法须经审批的项目，经相关部门审批后方可开展经营活动）</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股东情况：武汉商贸集团有限公司持有其100%股权</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国创资本是由武汉国有资产经营公司（现更名为武汉商贸集团有限公司）投资组建的大型金融集团公司，该公司构建了全方位、一体化的融资服务平台，旗下平台企业有担保、小贷、融资租赁、商业保理等子公司，国创资本未被列为失信被执行人。</w:t>
      </w:r>
      <w:r>
        <w:rPr>
          <w:rFonts w:hint="eastAsia" w:asciiTheme="minorEastAsia" w:hAnsiTheme="minorEastAsia"/>
          <w:color w:val="000000" w:themeColor="text1"/>
          <w:kern w:val="0"/>
          <w:sz w:val="24"/>
          <w14:textFill>
            <w14:solidFill>
              <w14:schemeClr w14:val="tx1"/>
            </w14:solidFill>
          </w14:textFill>
        </w:rPr>
        <w:t>近三年来，国创资本深耕实体经济、服务产业发展，旗下各子公司围绕城市基础设施建设、大型专业设备、商贸供应链金融等开展融资服务，服务了一批中小微企业，取得了良好的经济效益和社会效益。</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国创资本100%控股股东武汉商贸集团有限公司为武汉商联（集团）股份有限公司的控股股东，与本公司存在关联关系。</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截止2021年12月31日，国创资本经审计的资产总额为94.61亿元，净资产为27.38亿元。2021年营业收入37487.52万元，净利润-43698.55万元。</w:t>
      </w:r>
    </w:p>
    <w:p>
      <w:pPr>
        <w:adjustRightInd w:val="0"/>
        <w:snapToGrid w:val="0"/>
        <w:spacing w:line="440" w:lineRule="exact"/>
        <w:ind w:firstLine="472" w:firstLineChars="196"/>
        <w:jc w:val="left"/>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（二）公司名称：湖北合作投资集团有限公司（非关联方）</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类型：其他有限责任公司</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注册地址：湖北省武汉市江汉区江汉北路3号、5号新建居住、商业金融业项目(南国中心二期)T1、T2栋T2单元28层(1)办公号</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法定代表人：黄发礼</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注册资本：116,000万元</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统一社会信用代码：91420000795949825X</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成立日期：2007年2月7日</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经营范围：投资及管理；企业并购重组及咨询服务；农业产业化基础开发；农村商品流通网络开发。</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股东情况：湖北省供销合作社社有资产经营管理公司持有其96.55%股权，湖北银丰集团实业有限责任公司持有其3.45%股权。</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该公司与公司、公司前十名股东在产权、业务、资产、债权债务、人员等方面无关联关系，也无其他可能或已经造成本公司对其利益倾斜的其他关系，该公司未被列为失信被执行人。</w:t>
      </w:r>
    </w:p>
    <w:p>
      <w:pPr>
        <w:adjustRightInd w:val="0"/>
        <w:snapToGrid w:val="0"/>
        <w:spacing w:line="440" w:lineRule="exact"/>
        <w:ind w:firstLine="472" w:firstLineChars="196"/>
        <w:jc w:val="left"/>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（三）</w:t>
      </w:r>
      <w:r>
        <w:rPr>
          <w:rFonts w:ascii="楷体" w:hAnsi="楷体" w:eastAsia="楷体"/>
          <w:b/>
          <w:color w:val="000000" w:themeColor="text1"/>
          <w:sz w:val="24"/>
          <w14:textFill>
            <w14:solidFill>
              <w14:schemeClr w14:val="tx1"/>
            </w14:solidFill>
          </w14:textFill>
        </w:rPr>
        <w:t>深圳</w:t>
      </w:r>
      <w:r>
        <w:rPr>
          <w:rFonts w:hint="eastAsia" w:ascii="楷体" w:hAnsi="楷体" w:eastAsia="楷体"/>
          <w:b/>
          <w:color w:val="000000" w:themeColor="text1"/>
          <w:sz w:val="24"/>
          <w14:textFill>
            <w14:solidFill>
              <w14:schemeClr w14:val="tx1"/>
            </w14:solidFill>
          </w14:textFill>
        </w:rPr>
        <w:t>乾德创业投资合伙企业（有限合伙）（非关联方）</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类型：</w:t>
      </w:r>
      <w:r>
        <w:rPr>
          <w:rFonts w:hint="eastAsia" w:asciiTheme="minorEastAsia" w:hAnsiTheme="minorEastAsia"/>
          <w:color w:val="000000" w:themeColor="text1"/>
          <w:sz w:val="24"/>
          <w14:textFill>
            <w14:solidFill>
              <w14:schemeClr w14:val="tx1"/>
            </w14:solidFill>
          </w14:textFill>
        </w:rPr>
        <w:t>有限合伙企业</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注册地址</w:t>
      </w:r>
      <w:r>
        <w:rPr>
          <w:rFonts w:asciiTheme="minorEastAsia" w:hAnsiTheme="minorEastAsia"/>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深圳市南山区粤海街道后海大道怡化金融科技大厦1303室</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注册资本：912万元</w:t>
      </w:r>
    </w:p>
    <w:p>
      <w:pPr>
        <w:pStyle w:val="13"/>
        <w:snapToGrid w:val="0"/>
        <w:spacing w:line="440" w:lineRule="exact"/>
        <w:ind w:firstLine="470" w:firstLineChars="196"/>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t>统一社会信用代码：</w:t>
      </w:r>
      <w:r>
        <w:rPr>
          <w:rFonts w:hint="eastAsia" w:cs="Times New Roman" w:asciiTheme="minorEastAsia" w:hAnsiTheme="minorEastAsia" w:eastAsiaTheme="minorEastAsia"/>
          <w:color w:val="000000" w:themeColor="text1"/>
          <w14:textFill>
            <w14:solidFill>
              <w14:schemeClr w14:val="tx1"/>
            </w14:solidFill>
          </w14:textFill>
        </w:rPr>
        <w:t>914403003602615898</w:t>
      </w:r>
    </w:p>
    <w:p>
      <w:pPr>
        <w:pStyle w:val="13"/>
        <w:snapToGrid w:val="0"/>
        <w:spacing w:line="440" w:lineRule="exact"/>
        <w:ind w:firstLine="470" w:firstLineChars="196"/>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成立日期：2016年3月4日</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经营范围：</w:t>
      </w:r>
      <w:r>
        <w:rPr>
          <w:rFonts w:asciiTheme="minorEastAsia" w:hAnsiTheme="minorEastAsia"/>
          <w:color w:val="000000" w:themeColor="text1"/>
          <w:sz w:val="24"/>
          <w14:textFill>
            <w14:solidFill>
              <w14:schemeClr w14:val="tx1"/>
            </w14:solidFill>
          </w14:textFill>
        </w:rPr>
        <w:t>一般经营项目是：对未上市企业进行股权投资; 受托资产管理（不得从事信托、金融资产管理、证券资产管理等业务）、项目投资、投资管理、企业管理咨询、信息咨询、投资咨询、财务咨询、创业投资咨询业务；为创业企业提供创业管理服务业务；参与设立创业投资企业与创业投资管理顾问；对未上市企业进行股权投资；开展股权投资和企业上市咨询业务、受托管理创业投资企业等机构或个人的创业投资业务；创业投资咨询业务；为创业企业提供创业管理服务业务；参与设立创业投资企业与创业投资管理顾问</w:t>
      </w:r>
      <w:r>
        <w:rPr>
          <w:rFonts w:hint="eastAsia" w:asciiTheme="minorEastAsia" w:hAnsiTheme="minorEastAsia"/>
          <w:color w:val="000000" w:themeColor="text1"/>
          <w:sz w:val="24"/>
          <w14:textFill>
            <w14:solidFill>
              <w14:schemeClr w14:val="tx1"/>
            </w14:solidFill>
          </w14:textFill>
        </w:rPr>
        <w:t>。</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股东情况：楚天舒持有其55.25%股权，李杰持有其43.75%股权，深圳前海乾源股权投资基金管理有限公司持有其1%股权，为其执行事务合伙人。</w:t>
      </w:r>
    </w:p>
    <w:p>
      <w:pPr>
        <w:adjustRightInd w:val="0"/>
        <w:snapToGrid w:val="0"/>
        <w:spacing w:line="440" w:lineRule="exact"/>
        <w:ind w:firstLine="470" w:firstLineChars="196"/>
        <w:jc w:val="left"/>
        <w:rPr>
          <w:rFonts w:asciiTheme="minorEastAsia" w:hAnsiTheme="minorEastAsia"/>
          <w:color w:val="000000" w:themeColor="text1"/>
          <w:kern w:val="0"/>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该公司</w:t>
      </w:r>
      <w:r>
        <w:rPr>
          <w:rFonts w:asciiTheme="minorEastAsia" w:hAnsiTheme="minorEastAsia"/>
          <w:color w:val="000000" w:themeColor="text1"/>
          <w:kern w:val="0"/>
          <w:sz w:val="24"/>
          <w14:textFill>
            <w14:solidFill>
              <w14:schemeClr w14:val="tx1"/>
            </w14:solidFill>
          </w14:textFill>
        </w:rPr>
        <w:t>与公司、公司</w:t>
      </w:r>
      <w:r>
        <w:rPr>
          <w:rFonts w:asciiTheme="minorEastAsia" w:hAnsiTheme="minorEastAsia"/>
          <w:color w:val="000000" w:themeColor="text1"/>
          <w:sz w:val="24"/>
          <w14:textFill>
            <w14:solidFill>
              <w14:schemeClr w14:val="tx1"/>
            </w14:solidFill>
          </w14:textFill>
        </w:rPr>
        <w:t>前十名股东在产权、业务、资产、债权债务、人员等方面无关联关系，也无其他可能或已经造成本公司对其利益倾斜的其他关系</w:t>
      </w: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该企业</w:t>
      </w:r>
      <w:r>
        <w:rPr>
          <w:rFonts w:ascii="宋体" w:hAnsi="宋体"/>
          <w:color w:val="000000" w:themeColor="text1"/>
          <w:sz w:val="24"/>
          <w14:textFill>
            <w14:solidFill>
              <w14:schemeClr w14:val="tx1"/>
            </w14:solidFill>
          </w14:textFill>
        </w:rPr>
        <w:t>未被列为失信被执行人</w:t>
      </w:r>
      <w:r>
        <w:rPr>
          <w:rFonts w:hint="eastAsia" w:ascii="宋体" w:hAnsi="宋体"/>
          <w:color w:val="000000" w:themeColor="text1"/>
          <w:sz w:val="24"/>
          <w14:textFill>
            <w14:solidFill>
              <w14:schemeClr w14:val="tx1"/>
            </w14:solidFill>
          </w14:textFill>
        </w:rPr>
        <w:t>。</w:t>
      </w:r>
    </w:p>
    <w:p>
      <w:pPr>
        <w:adjustRightInd w:val="0"/>
        <w:snapToGrid w:val="0"/>
        <w:spacing w:line="440" w:lineRule="exact"/>
        <w:ind w:firstLine="472" w:firstLineChars="196"/>
        <w:jc w:val="left"/>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（四）武汉尚盛商业管理有限公司（非关联方）</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类型：有限责任公司（自然人独资）</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注册地址：武汉市黄陂区定远村</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法定代表人：周军</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注册资本：100万元</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统一社会信用代码：91420116303766126W</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成立日期：2014年12月17日</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经营范围：商业运营、地产运营管理服务，物业管理服务，游泳池经营管理，健身服务，游泳用品、预包装食品销售。（依法须经审批的项目，经相关部门审批后方可开展经营活动）</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股东情况：周军持有100%股权。</w:t>
      </w:r>
    </w:p>
    <w:p>
      <w:pPr>
        <w:adjustRightInd w:val="0"/>
        <w:snapToGrid w:val="0"/>
        <w:spacing w:line="440" w:lineRule="exact"/>
        <w:ind w:firstLine="470" w:firstLineChars="196"/>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该公司与公司、公司前十名股东在产权、业务、资产、债权债务、人员等方面无关联关系，也无其他可能或已经造成本公司对其利益倾斜的其他关系，该公司未被列为失信被执行人。</w:t>
      </w:r>
    </w:p>
    <w:p>
      <w:pPr>
        <w:adjustRightInd w:val="0"/>
        <w:snapToGrid w:val="0"/>
        <w:spacing w:line="440" w:lineRule="exact"/>
        <w:ind w:firstLine="472" w:firstLineChars="196"/>
        <w:jc w:val="left"/>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（五）武汉汉鹏物流发展有限责任公司（非关联方）</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类型：有限责任公司（自然人投资或控股的法人独资）</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注册地址：武汉市东西湖区吴家山农场台南一路南、高桥八路东1栋1-3层</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法定代表人：李慧斌</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注册资本：1164万元</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统一社会信用代码：91420100688808998M</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成立日期：2009年4月29日</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经营范围：装卸搬运、道路运输代理；货运配载信息服务；仓储服务；百货、针纺织品、五金交电、日用杂品、工艺美术品、建筑材料、劳保用品、通讯设备及配件、钢材、包装器材、印刷器材批零兼营；普通货运；预包装食品兼散装食品、乳制品（含婴幼儿配方乳粉）批发兼零售。（依法须经审批的项目，经相关部门审批后方可开展经营活动）</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股东情况：该公司为公司二级全资子公司，全资子公司武汉中百物流配送有限公司持有其100%股权，该公司未被列为失信被执行人。</w:t>
      </w:r>
    </w:p>
    <w:p>
      <w:pPr>
        <w:adjustRightInd w:val="0"/>
        <w:snapToGrid w:val="0"/>
        <w:spacing w:line="440" w:lineRule="exact"/>
        <w:ind w:firstLine="480" w:firstLineChars="20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三、关联交易标的基本情况</w:t>
      </w:r>
    </w:p>
    <w:p>
      <w:pPr>
        <w:adjustRightInd w:val="0"/>
        <w:snapToGrid w:val="0"/>
        <w:spacing w:line="440" w:lineRule="exact"/>
        <w:ind w:firstLine="472" w:firstLineChars="196"/>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（一）基本信息</w:t>
      </w:r>
    </w:p>
    <w:p>
      <w:pPr>
        <w:adjustRightInd w:val="0"/>
        <w:snapToGrid w:val="0"/>
        <w:spacing w:line="440" w:lineRule="exact"/>
        <w:ind w:firstLine="470" w:firstLineChars="196"/>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公司名称：</w:t>
      </w:r>
      <w:r>
        <w:rPr>
          <w:rFonts w:hint="eastAsia" w:asciiTheme="minorEastAsia" w:hAnsiTheme="minorEastAsia"/>
          <w:color w:val="000000" w:themeColor="text1"/>
          <w:sz w:val="24"/>
          <w14:textFill>
            <w14:solidFill>
              <w14:schemeClr w14:val="tx1"/>
            </w14:solidFill>
          </w14:textFill>
        </w:rPr>
        <w:t>供销中百支付有限公司</w:t>
      </w:r>
    </w:p>
    <w:p>
      <w:pPr>
        <w:adjustRightInd w:val="0"/>
        <w:snapToGrid w:val="0"/>
        <w:spacing w:line="440" w:lineRule="exact"/>
        <w:ind w:firstLine="470" w:firstLineChars="196"/>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类型：</w:t>
      </w:r>
      <w:r>
        <w:rPr>
          <w:rFonts w:asciiTheme="minorEastAsia" w:hAnsiTheme="minorEastAsia"/>
          <w:color w:val="000000" w:themeColor="text1"/>
          <w:sz w:val="24"/>
          <w:shd w:val="clear" w:color="auto" w:fill="FFFFFF"/>
          <w14:textFill>
            <w14:solidFill>
              <w14:schemeClr w14:val="tx1"/>
            </w14:solidFill>
          </w14:textFill>
        </w:rPr>
        <w:t>其他</w:t>
      </w:r>
      <w:r>
        <w:rPr>
          <w:rFonts w:hint="eastAsia" w:asciiTheme="minorEastAsia" w:hAnsiTheme="minorEastAsia"/>
          <w:color w:val="000000" w:themeColor="text1"/>
          <w:sz w:val="24"/>
          <w14:textFill>
            <w14:solidFill>
              <w14:schemeClr w14:val="tx1"/>
            </w14:solidFill>
          </w14:textFill>
        </w:rPr>
        <w:t>有限责任公司</w:t>
      </w:r>
    </w:p>
    <w:p>
      <w:pPr>
        <w:adjustRightInd w:val="0"/>
        <w:snapToGrid w:val="0"/>
        <w:spacing w:line="440" w:lineRule="exact"/>
        <w:ind w:firstLine="470" w:firstLineChars="196"/>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注册地址：武汉市硚口区古田二路8栋(汇丰企业总部)</w:t>
      </w:r>
    </w:p>
    <w:p>
      <w:pPr>
        <w:adjustRightInd w:val="0"/>
        <w:snapToGrid w:val="0"/>
        <w:spacing w:line="440" w:lineRule="exact"/>
        <w:ind w:firstLine="470" w:firstLineChars="196"/>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法定代表人：</w:t>
      </w:r>
      <w:r>
        <w:rPr>
          <w:rFonts w:hint="eastAsia" w:asciiTheme="minorEastAsia" w:hAnsiTheme="minorEastAsia"/>
          <w:color w:val="000000" w:themeColor="text1"/>
          <w:sz w:val="24"/>
          <w14:textFill>
            <w14:solidFill>
              <w14:schemeClr w14:val="tx1"/>
            </w14:solidFill>
          </w14:textFill>
        </w:rPr>
        <w:t>周华方</w:t>
      </w:r>
    </w:p>
    <w:p>
      <w:pPr>
        <w:adjustRightInd w:val="0"/>
        <w:snapToGrid w:val="0"/>
        <w:spacing w:line="440" w:lineRule="exact"/>
        <w:ind w:firstLine="470" w:firstLineChars="196"/>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注册资本：</w:t>
      </w:r>
      <w:r>
        <w:rPr>
          <w:rFonts w:hint="eastAsia" w:asciiTheme="minorEastAsia" w:hAnsiTheme="minorEastAsia"/>
          <w:color w:val="000000" w:themeColor="text1"/>
          <w:sz w:val="24"/>
          <w14:textFill>
            <w14:solidFill>
              <w14:schemeClr w14:val="tx1"/>
            </w14:solidFill>
          </w14:textFill>
        </w:rPr>
        <w:t>10</w:t>
      </w:r>
      <w:r>
        <w:rPr>
          <w:rFonts w:asciiTheme="minorEastAsia" w:hAnsiTheme="minorEastAsia"/>
          <w:color w:val="000000" w:themeColor="text1"/>
          <w:sz w:val="24"/>
          <w14:textFill>
            <w14:solidFill>
              <w14:schemeClr w14:val="tx1"/>
            </w14:solidFill>
          </w14:textFill>
        </w:rPr>
        <w:t>000万元</w:t>
      </w:r>
    </w:p>
    <w:p>
      <w:pPr>
        <w:adjustRightInd w:val="0"/>
        <w:snapToGrid w:val="0"/>
        <w:spacing w:line="440" w:lineRule="exact"/>
        <w:ind w:firstLine="470" w:firstLineChars="196"/>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统一社会信用代码：91420100724685252G</w:t>
      </w:r>
    </w:p>
    <w:p>
      <w:pPr>
        <w:pStyle w:val="13"/>
        <w:snapToGrid w:val="0"/>
        <w:spacing w:line="440" w:lineRule="exact"/>
        <w:ind w:firstLine="470" w:firstLineChars="196"/>
        <w:rPr>
          <w:rFonts w:cs="Times New Roman" w:asciiTheme="minorEastAsia" w:hAnsiTheme="minorEastAsia" w:eastAsiaTheme="minorEastAsia"/>
          <w:color w:val="000000" w:themeColor="text1"/>
          <w14:textFill>
            <w14:solidFill>
              <w14:schemeClr w14:val="tx1"/>
            </w14:solidFill>
          </w14:textFill>
        </w:rPr>
      </w:pPr>
      <w:r>
        <w:rPr>
          <w:rFonts w:cs="Times New Roman" w:asciiTheme="minorEastAsia" w:hAnsiTheme="minorEastAsia" w:eastAsiaTheme="minorEastAsia"/>
          <w:color w:val="000000" w:themeColor="text1"/>
          <w14:textFill>
            <w14:solidFill>
              <w14:schemeClr w14:val="tx1"/>
            </w14:solidFill>
          </w14:textFill>
        </w:rPr>
        <w:t>成立日期：2000年10月20日</w:t>
      </w:r>
    </w:p>
    <w:p>
      <w:pPr>
        <w:adjustRightInd w:val="0"/>
        <w:snapToGrid w:val="0"/>
        <w:spacing w:line="440" w:lineRule="exact"/>
        <w:ind w:firstLine="470" w:firstLineChars="196"/>
        <w:rPr>
          <w:rFonts w:asciiTheme="minorEastAsia" w:hAnsiTheme="minorEastAsia"/>
          <w:color w:val="000000" w:themeColor="text1"/>
          <w:sz w:val="24"/>
          <w:shd w:val="clear" w:color="auto" w:fill="FFFFFF"/>
          <w14:textFill>
            <w14:solidFill>
              <w14:schemeClr w14:val="tx1"/>
            </w14:solidFill>
          </w14:textFill>
        </w:rPr>
      </w:pPr>
      <w:r>
        <w:rPr>
          <w:rFonts w:asciiTheme="minorEastAsia" w:hAnsiTheme="minorEastAsia"/>
          <w:color w:val="000000" w:themeColor="text1"/>
          <w:sz w:val="24"/>
          <w14:textFill>
            <w14:solidFill>
              <w14:schemeClr w14:val="tx1"/>
            </w14:solidFill>
          </w14:textFill>
        </w:rPr>
        <w:t>经营范围：</w:t>
      </w:r>
      <w:r>
        <w:rPr>
          <w:rFonts w:asciiTheme="minorEastAsia" w:hAnsiTheme="minorEastAsia"/>
          <w:color w:val="000000" w:themeColor="text1"/>
          <w:sz w:val="24"/>
          <w:shd w:val="clear" w:color="auto" w:fill="FFFFFF"/>
          <w14:textFill>
            <w14:solidFill>
              <w14:schemeClr w14:val="tx1"/>
            </w14:solidFill>
          </w14:textFill>
        </w:rPr>
        <w:t>湖北省内预付卡发行与受理。（国家有专项规定的项目经审批后或凭许可证在核定的期限内方可经营）;日用百货、预包装食品、散装食品批发兼零售、针纺织品、服装鞋帽、五金交电、工艺品、文具、体育用品、礼品、办公用品、家用电器、电子产品、健身器材、汽摩配件、建筑装饰材料批发兼零售、计算机系统服务、计算机软件开发、计算机技术咨询服务、计算机、通讯设备租赁；电子卡设计、制作、批发兼零售及相关服务；国内广告设计、制作、代理、发布；经济信息咨询服务、货物配送及信息服务（不含运输）、会议服务；票务代理、贸易代理、技术代理及咨询服务；物业管理；酒店管理；湖北省内预付卡发行与受理；第二类增值电信业务中的信息服务业务（仅限互联网信息服务）（互联网信息服务不含新闻、出版、教育、医疗保健、药品和医疗器械、文化、广播电影电视节目、电子公告内容）。（依法须经批准的项目，经相关部门批准后方可开展经营活动）</w:t>
      </w:r>
    </w:p>
    <w:p>
      <w:pPr>
        <w:adjustRightInd w:val="0"/>
        <w:snapToGrid w:val="0"/>
        <w:spacing w:line="440" w:lineRule="exact"/>
        <w:ind w:firstLine="472" w:firstLineChars="196"/>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（二）股权结构</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股东名称</w:t>
            </w:r>
          </w:p>
        </w:tc>
        <w:tc>
          <w:tcPr>
            <w:tcW w:w="1843" w:type="dxa"/>
            <w:vAlign w:val="center"/>
          </w:tcPr>
          <w:p>
            <w:pPr>
              <w:spacing w:line="480" w:lineRule="exact"/>
              <w:ind w:firstLine="480" w:firstLineChars="200"/>
              <w:jc w:val="both"/>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股份数</w:t>
            </w:r>
          </w:p>
        </w:tc>
        <w:tc>
          <w:tcPr>
            <w:tcW w:w="1701" w:type="dxa"/>
            <w:vAlign w:val="center"/>
          </w:tcPr>
          <w:p>
            <w:pPr>
              <w:spacing w:line="480" w:lineRule="exact"/>
              <w:ind w:firstLine="120" w:firstLineChars="50"/>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kern w:val="0"/>
                <w:sz w:val="24"/>
                <w14:textFill>
                  <w14:solidFill>
                    <w14:schemeClr w14:val="tx1"/>
                  </w14:solidFill>
                </w14:textFill>
              </w:rPr>
              <w:t>湖北合作投资集团有限公司</w:t>
            </w:r>
          </w:p>
        </w:tc>
        <w:tc>
          <w:tcPr>
            <w:tcW w:w="1843"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3400万</w:t>
            </w:r>
            <w:r>
              <w:rPr>
                <w:rFonts w:hint="eastAsia" w:asciiTheme="minorEastAsia" w:hAnsiTheme="minorEastAsia"/>
                <w:color w:val="000000" w:themeColor="text1"/>
                <w:sz w:val="24"/>
                <w14:textFill>
                  <w14:solidFill>
                    <w14:schemeClr w14:val="tx1"/>
                  </w14:solidFill>
                </w14:textFill>
              </w:rPr>
              <w:t>股</w:t>
            </w:r>
          </w:p>
        </w:tc>
        <w:tc>
          <w:tcPr>
            <w:tcW w:w="1701"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中百控股集团股份有限公司</w:t>
            </w:r>
          </w:p>
        </w:tc>
        <w:tc>
          <w:tcPr>
            <w:tcW w:w="1843"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3000万</w:t>
            </w:r>
            <w:r>
              <w:rPr>
                <w:rFonts w:hint="eastAsia" w:asciiTheme="minorEastAsia" w:hAnsiTheme="minorEastAsia"/>
                <w:color w:val="000000" w:themeColor="text1"/>
                <w:sz w:val="24"/>
                <w14:textFill>
                  <w14:solidFill>
                    <w14:schemeClr w14:val="tx1"/>
                  </w14:solidFill>
                </w14:textFill>
              </w:rPr>
              <w:t>股</w:t>
            </w:r>
          </w:p>
        </w:tc>
        <w:tc>
          <w:tcPr>
            <w:tcW w:w="1701"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8"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武汉国创资本投资有限公司</w:t>
            </w:r>
          </w:p>
        </w:tc>
        <w:tc>
          <w:tcPr>
            <w:tcW w:w="1843"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1600万</w:t>
            </w:r>
            <w:r>
              <w:rPr>
                <w:rFonts w:hint="eastAsia" w:asciiTheme="minorEastAsia" w:hAnsiTheme="minorEastAsia"/>
                <w:color w:val="000000" w:themeColor="text1"/>
                <w:sz w:val="24"/>
                <w14:textFill>
                  <w14:solidFill>
                    <w14:schemeClr w14:val="tx1"/>
                  </w14:solidFill>
                </w14:textFill>
              </w:rPr>
              <w:t>股</w:t>
            </w:r>
          </w:p>
        </w:tc>
        <w:tc>
          <w:tcPr>
            <w:tcW w:w="1701"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深圳</w:t>
            </w:r>
            <w:r>
              <w:rPr>
                <w:rFonts w:hint="eastAsia" w:asciiTheme="minorEastAsia" w:hAnsiTheme="minorEastAsia"/>
                <w:color w:val="000000" w:themeColor="text1"/>
                <w:sz w:val="24"/>
                <w14:textFill>
                  <w14:solidFill>
                    <w14:schemeClr w14:val="tx1"/>
                  </w14:solidFill>
                </w14:textFill>
              </w:rPr>
              <w:t>乾德创业投资合伙企业（有限合伙）</w:t>
            </w:r>
          </w:p>
        </w:tc>
        <w:tc>
          <w:tcPr>
            <w:tcW w:w="1843"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800</w:t>
            </w:r>
            <w:r>
              <w:rPr>
                <w:rFonts w:asciiTheme="minorEastAsia" w:hAnsiTheme="minorEastAsia"/>
                <w:color w:val="000000" w:themeColor="text1"/>
                <w:sz w:val="24"/>
                <w14:textFill>
                  <w14:solidFill>
                    <w14:schemeClr w14:val="tx1"/>
                  </w14:solidFill>
                </w14:textFill>
              </w:rPr>
              <w:t>万</w:t>
            </w:r>
            <w:r>
              <w:rPr>
                <w:rFonts w:hint="eastAsia" w:asciiTheme="minorEastAsia" w:hAnsiTheme="minorEastAsia"/>
                <w:color w:val="000000" w:themeColor="text1"/>
                <w:sz w:val="24"/>
                <w14:textFill>
                  <w14:solidFill>
                    <w14:schemeClr w14:val="tx1"/>
                  </w14:solidFill>
                </w14:textFill>
              </w:rPr>
              <w:t>股</w:t>
            </w:r>
          </w:p>
        </w:tc>
        <w:tc>
          <w:tcPr>
            <w:tcW w:w="1701"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8</w:t>
            </w:r>
            <w:r>
              <w:rPr>
                <w:rFonts w:asciiTheme="minorEastAsia" w:hAnsiTheme="minorEastAsia"/>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武汉尚盛商业管理有限公司</w:t>
            </w:r>
          </w:p>
        </w:tc>
        <w:tc>
          <w:tcPr>
            <w:tcW w:w="1843"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700万股</w:t>
            </w:r>
          </w:p>
        </w:tc>
        <w:tc>
          <w:tcPr>
            <w:tcW w:w="1701"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武汉汉鹏物流发展有限责任公司</w:t>
            </w:r>
          </w:p>
        </w:tc>
        <w:tc>
          <w:tcPr>
            <w:tcW w:w="1843"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500万</w:t>
            </w:r>
            <w:r>
              <w:rPr>
                <w:rFonts w:hint="eastAsia" w:asciiTheme="minorEastAsia" w:hAnsiTheme="minorEastAsia"/>
                <w:color w:val="000000" w:themeColor="text1"/>
                <w:sz w:val="24"/>
                <w14:textFill>
                  <w14:solidFill>
                    <w14:schemeClr w14:val="tx1"/>
                  </w14:solidFill>
                </w14:textFill>
              </w:rPr>
              <w:t>股</w:t>
            </w:r>
          </w:p>
        </w:tc>
        <w:tc>
          <w:tcPr>
            <w:tcW w:w="1701"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8"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合计</w:t>
            </w:r>
          </w:p>
        </w:tc>
        <w:tc>
          <w:tcPr>
            <w:tcW w:w="1843"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10000万</w:t>
            </w:r>
            <w:r>
              <w:rPr>
                <w:rFonts w:hint="eastAsia" w:asciiTheme="minorEastAsia" w:hAnsiTheme="minorEastAsia"/>
                <w:color w:val="000000" w:themeColor="text1"/>
                <w:sz w:val="24"/>
                <w14:textFill>
                  <w14:solidFill>
                    <w14:schemeClr w14:val="tx1"/>
                  </w14:solidFill>
                </w14:textFill>
              </w:rPr>
              <w:t>股</w:t>
            </w:r>
          </w:p>
        </w:tc>
        <w:tc>
          <w:tcPr>
            <w:tcW w:w="1701" w:type="dxa"/>
            <w:vAlign w:val="center"/>
          </w:tcPr>
          <w:p>
            <w:pPr>
              <w:spacing w:line="480" w:lineRule="exact"/>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100%</w:t>
            </w:r>
          </w:p>
        </w:tc>
      </w:tr>
    </w:tbl>
    <w:p>
      <w:pPr>
        <w:adjustRightInd w:val="0"/>
        <w:snapToGrid w:val="0"/>
        <w:spacing w:line="440" w:lineRule="exact"/>
        <w:ind w:firstLine="482" w:firstLineChars="200"/>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（三）主要财务数据</w:t>
      </w:r>
    </w:p>
    <w:p>
      <w:pPr>
        <w:adjustRightInd w:val="0"/>
        <w:snapToGrid w:val="0"/>
        <w:spacing w:line="440" w:lineRule="exact"/>
        <w:ind w:firstLine="480" w:firstLineChars="200"/>
        <w:jc w:val="lef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供销中百</w:t>
      </w:r>
      <w:r>
        <w:rPr>
          <w:rFonts w:asciiTheme="minorEastAsia" w:hAnsiTheme="minorEastAsia"/>
          <w:color w:val="000000" w:themeColor="text1"/>
          <w:sz w:val="24"/>
          <w14:textFill>
            <w14:solidFill>
              <w14:schemeClr w14:val="tx1"/>
            </w14:solidFill>
          </w14:textFill>
        </w:rPr>
        <w:t>经具有</w:t>
      </w:r>
      <w:r>
        <w:rPr>
          <w:rFonts w:hint="eastAsia" w:asciiTheme="minorEastAsia" w:hAnsiTheme="minorEastAsia"/>
          <w:color w:val="000000" w:themeColor="text1"/>
          <w:sz w:val="24"/>
          <w14:textFill>
            <w14:solidFill>
              <w14:schemeClr w14:val="tx1"/>
            </w14:solidFill>
          </w14:textFill>
        </w:rPr>
        <w:t>从事</w:t>
      </w:r>
      <w:r>
        <w:rPr>
          <w:rFonts w:asciiTheme="minorEastAsia" w:hAnsiTheme="minorEastAsia"/>
          <w:color w:val="000000" w:themeColor="text1"/>
          <w:sz w:val="24"/>
          <w14:textFill>
            <w14:solidFill>
              <w14:schemeClr w14:val="tx1"/>
            </w14:solidFill>
          </w14:textFill>
        </w:rPr>
        <w:t>证券</w:t>
      </w: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期货相关业务资格的</w:t>
      </w:r>
      <w:r>
        <w:rPr>
          <w:rFonts w:hint="eastAsia" w:asciiTheme="minorEastAsia" w:hAnsiTheme="minorEastAsia"/>
          <w:color w:val="000000" w:themeColor="text1"/>
          <w:sz w:val="24"/>
          <w14:textFill>
            <w14:solidFill>
              <w14:schemeClr w14:val="tx1"/>
            </w14:solidFill>
          </w14:textFill>
        </w:rPr>
        <w:t>永拓</w:t>
      </w:r>
      <w:r>
        <w:rPr>
          <w:rFonts w:asciiTheme="minorEastAsia" w:hAnsiTheme="minorEastAsia"/>
          <w:color w:val="000000" w:themeColor="text1"/>
          <w:sz w:val="24"/>
          <w14:textFill>
            <w14:solidFill>
              <w14:schemeClr w14:val="tx1"/>
            </w14:solidFill>
          </w14:textFill>
        </w:rPr>
        <w:t>会计师事务所</w:t>
      </w:r>
      <w:r>
        <w:rPr>
          <w:rFonts w:hint="eastAsia" w:asciiTheme="minorEastAsia" w:hAnsiTheme="minorEastAsia"/>
          <w:color w:val="000000" w:themeColor="text1"/>
          <w:sz w:val="24"/>
          <w14:textFill>
            <w14:solidFill>
              <w14:schemeClr w14:val="tx1"/>
            </w14:solidFill>
          </w14:textFill>
        </w:rPr>
        <w:t>（特殊普通合伙）湖北分所</w:t>
      </w:r>
      <w:r>
        <w:rPr>
          <w:rFonts w:asciiTheme="minorEastAsia" w:hAnsiTheme="minorEastAsia"/>
          <w:color w:val="000000" w:themeColor="text1"/>
          <w:sz w:val="24"/>
          <w14:textFill>
            <w14:solidFill>
              <w14:schemeClr w14:val="tx1"/>
            </w14:solidFill>
          </w14:textFill>
        </w:rPr>
        <w:t>审计</w:t>
      </w: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审计报告</w:t>
      </w:r>
      <w:r>
        <w:rPr>
          <w:rFonts w:hint="eastAsia" w:asciiTheme="minorEastAsia" w:hAnsiTheme="minorEastAsia"/>
          <w:color w:val="000000" w:themeColor="text1"/>
          <w:sz w:val="24"/>
          <w14:textFill>
            <w14:solidFill>
              <w14:schemeClr w14:val="tx1"/>
            </w14:solidFill>
          </w14:textFill>
        </w:rPr>
        <w:t>（永拓鄂审字（20</w:t>
      </w:r>
      <w:r>
        <w:rPr>
          <w:rFonts w:asciiTheme="minorEastAsia" w:hAnsiTheme="minorEastAsia"/>
          <w:color w:val="000000" w:themeColor="text1"/>
          <w:sz w:val="24"/>
          <w14:textFill>
            <w14:solidFill>
              <w14:schemeClr w14:val="tx1"/>
            </w14:solidFill>
          </w14:textFill>
        </w:rPr>
        <w:t>22</w:t>
      </w:r>
      <w:r>
        <w:rPr>
          <w:rFonts w:hint="eastAsia" w:asciiTheme="minorEastAsia" w:hAnsiTheme="minorEastAsia"/>
          <w:color w:val="000000" w:themeColor="text1"/>
          <w:sz w:val="24"/>
          <w14:textFill>
            <w14:solidFill>
              <w14:schemeClr w14:val="tx1"/>
            </w14:solidFill>
          </w14:textFill>
        </w:rPr>
        <w:t>）第0</w:t>
      </w:r>
      <w:r>
        <w:rPr>
          <w:rFonts w:asciiTheme="minorEastAsia" w:hAnsiTheme="minorEastAsia"/>
          <w:color w:val="000000" w:themeColor="text1"/>
          <w:sz w:val="24"/>
          <w14:textFill>
            <w14:solidFill>
              <w14:schemeClr w14:val="tx1"/>
            </w14:solidFill>
          </w14:textFill>
        </w:rPr>
        <w:t>052</w:t>
      </w:r>
      <w:r>
        <w:rPr>
          <w:rFonts w:hint="eastAsia" w:asciiTheme="minorEastAsia" w:hAnsiTheme="minorEastAsia"/>
          <w:color w:val="000000" w:themeColor="text1"/>
          <w:sz w:val="24"/>
          <w14:textFill>
            <w14:solidFill>
              <w14:schemeClr w14:val="tx1"/>
            </w14:solidFill>
          </w14:textFill>
        </w:rPr>
        <w:t>号），</w:t>
      </w:r>
      <w:r>
        <w:rPr>
          <w:rFonts w:asciiTheme="minorEastAsia" w:hAnsiTheme="minorEastAsia"/>
          <w:color w:val="000000" w:themeColor="text1"/>
          <w:sz w:val="24"/>
          <w14:textFill>
            <w14:solidFill>
              <w14:schemeClr w14:val="tx1"/>
            </w14:solidFill>
          </w14:textFill>
        </w:rPr>
        <w:t xml:space="preserve">该公司经审计的财务情况如下：                 </w:t>
      </w:r>
    </w:p>
    <w:p>
      <w:pPr>
        <w:adjustRightInd w:val="0"/>
        <w:snapToGrid w:val="0"/>
        <w:spacing w:line="440" w:lineRule="exact"/>
        <w:ind w:firstLine="6921" w:firstLineChars="3296"/>
        <w:rPr>
          <w:rFonts w:ascii="Calibri" w:hAnsi="Calibri"/>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单位：万元</w:t>
      </w:r>
    </w:p>
    <w:tbl>
      <w:tblPr>
        <w:tblStyle w:val="10"/>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5"/>
        <w:gridCol w:w="5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exact"/>
        </w:trPr>
        <w:tc>
          <w:tcPr>
            <w:tcW w:w="28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项目</w:t>
            </w:r>
          </w:p>
        </w:tc>
        <w:tc>
          <w:tcPr>
            <w:tcW w:w="55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20</w:t>
            </w:r>
            <w:r>
              <w:rPr>
                <w:rFonts w:hint="eastAsia" w:asciiTheme="minorEastAsia" w:hAnsiTheme="minorEastAsia"/>
                <w:color w:val="000000" w:themeColor="text1"/>
                <w:sz w:val="24"/>
                <w14:textFill>
                  <w14:solidFill>
                    <w14:schemeClr w14:val="tx1"/>
                  </w14:solidFill>
                </w14:textFill>
              </w:rPr>
              <w:t>2</w:t>
            </w:r>
            <w:r>
              <w:rPr>
                <w:rFonts w:asciiTheme="minorEastAsia" w:hAnsiTheme="minorEastAsia"/>
                <w:color w:val="000000" w:themeColor="text1"/>
                <w:sz w:val="24"/>
                <w14:textFill>
                  <w14:solidFill>
                    <w14:schemeClr w14:val="tx1"/>
                  </w14:solidFill>
                </w14:textFill>
              </w:rPr>
              <w:t>1</w:t>
            </w:r>
            <w:r>
              <w:rPr>
                <w:rFonts w:hint="eastAsia" w:asciiTheme="minorEastAsia" w:hAnsiTheme="minorEastAsia"/>
                <w:color w:val="000000" w:themeColor="text1"/>
                <w:sz w:val="24"/>
                <w14:textFill>
                  <w14:solidFill>
                    <w14:schemeClr w14:val="tx1"/>
                  </w14:solidFill>
                </w14:textFill>
              </w:rPr>
              <w:t>年</w:t>
            </w:r>
            <w:r>
              <w:rPr>
                <w:rFonts w:asciiTheme="minorEastAsia" w:hAnsiTheme="minorEastAsia"/>
                <w:color w:val="000000" w:themeColor="text1"/>
                <w:sz w:val="24"/>
                <w14:textFill>
                  <w14:solidFill>
                    <w14:schemeClr w14:val="tx1"/>
                  </w14:solidFill>
                </w14:textFill>
              </w:rPr>
              <w:t>12</w:t>
            </w:r>
            <w:r>
              <w:rPr>
                <w:rFonts w:hint="eastAsia" w:asciiTheme="minorEastAsia" w:hAnsiTheme="minorEastAsia"/>
                <w:color w:val="000000" w:themeColor="text1"/>
                <w:sz w:val="24"/>
                <w14:textFill>
                  <w14:solidFill>
                    <w14:schemeClr w14:val="tx1"/>
                  </w14:solidFill>
                </w14:textFill>
              </w:rPr>
              <w:t>月</w:t>
            </w:r>
            <w:r>
              <w:rPr>
                <w:rFonts w:asciiTheme="minorEastAsia" w:hAnsiTheme="minorEastAsia"/>
                <w:color w:val="000000" w:themeColor="text1"/>
                <w:sz w:val="24"/>
                <w14:textFill>
                  <w14:solidFill>
                    <w14:schemeClr w14:val="tx1"/>
                  </w14:solidFill>
                </w14:textFill>
              </w:rPr>
              <w:t>31</w:t>
            </w:r>
            <w:r>
              <w:rPr>
                <w:rFonts w:hint="eastAsia" w:asciiTheme="minorEastAsia" w:hAnsiTheme="minorEastAsia"/>
                <w:color w:val="000000" w:themeColor="text1"/>
                <w:sz w:val="24"/>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exact"/>
        </w:trPr>
        <w:tc>
          <w:tcPr>
            <w:tcW w:w="28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资产总额</w:t>
            </w:r>
          </w:p>
        </w:tc>
        <w:tc>
          <w:tcPr>
            <w:tcW w:w="552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11205.67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28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负债总额</w:t>
            </w:r>
          </w:p>
        </w:tc>
        <w:tc>
          <w:tcPr>
            <w:tcW w:w="552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773.04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trPr>
        <w:tc>
          <w:tcPr>
            <w:tcW w:w="28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净资产</w:t>
            </w:r>
          </w:p>
        </w:tc>
        <w:tc>
          <w:tcPr>
            <w:tcW w:w="552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10432.63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exact"/>
        </w:trPr>
        <w:tc>
          <w:tcPr>
            <w:tcW w:w="28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项目</w:t>
            </w:r>
          </w:p>
        </w:tc>
        <w:tc>
          <w:tcPr>
            <w:tcW w:w="55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20</w:t>
            </w:r>
            <w:r>
              <w:rPr>
                <w:rFonts w:hint="eastAsia" w:asciiTheme="minorEastAsia" w:hAnsiTheme="minorEastAsia"/>
                <w:color w:val="000000" w:themeColor="text1"/>
                <w:sz w:val="24"/>
                <w14:textFill>
                  <w14:solidFill>
                    <w14:schemeClr w14:val="tx1"/>
                  </w14:solidFill>
                </w14:textFill>
              </w:rPr>
              <w:t>2</w:t>
            </w:r>
            <w:r>
              <w:rPr>
                <w:rFonts w:asciiTheme="minorEastAsia" w:hAnsiTheme="minorEastAsia"/>
                <w:color w:val="000000" w:themeColor="text1"/>
                <w:sz w:val="24"/>
                <w14:textFill>
                  <w14:solidFill>
                    <w14:schemeClr w14:val="tx1"/>
                  </w14:solidFill>
                </w14:textFill>
              </w:rPr>
              <w:t>1</w:t>
            </w:r>
            <w:r>
              <w:rPr>
                <w:rFonts w:hint="eastAsia" w:asciiTheme="minorEastAsia" w:hAnsiTheme="minorEastAsia"/>
                <w:color w:val="000000" w:themeColor="text1"/>
                <w:sz w:val="24"/>
                <w14:textFill>
                  <w14:solidFill>
                    <w14:schemeClr w14:val="tx1"/>
                  </w14:solidFill>
                </w14:textFill>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trPr>
        <w:tc>
          <w:tcPr>
            <w:tcW w:w="28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营业收入</w:t>
            </w:r>
          </w:p>
        </w:tc>
        <w:tc>
          <w:tcPr>
            <w:tcW w:w="55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2003.55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28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营业利润</w:t>
            </w:r>
          </w:p>
        </w:tc>
        <w:tc>
          <w:tcPr>
            <w:tcW w:w="552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355.89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trPr>
        <w:tc>
          <w:tcPr>
            <w:tcW w:w="283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净利润</w:t>
            </w:r>
          </w:p>
        </w:tc>
        <w:tc>
          <w:tcPr>
            <w:tcW w:w="552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254.78</w:t>
            </w:r>
          </w:p>
        </w:tc>
      </w:tr>
    </w:tbl>
    <w:p>
      <w:pPr>
        <w:adjustRightInd w:val="0"/>
        <w:snapToGrid w:val="0"/>
        <w:spacing w:line="440" w:lineRule="exact"/>
        <w:ind w:firstLine="472" w:firstLineChars="196"/>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（四）其他情况说明</w:t>
      </w:r>
    </w:p>
    <w:p>
      <w:pPr>
        <w:adjustRightInd w:val="0"/>
        <w:snapToGrid w:val="0"/>
        <w:spacing w:line="440" w:lineRule="exact"/>
        <w:ind w:firstLine="470" w:firstLineChars="196"/>
        <w:rPr>
          <w:rFonts w:ascii="宋体" w:hAnsi="宋体"/>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供销中百股权、资产等不存在保证、抵押、质押、留置等情况，不存在对外投资，不存在尚未了结的行政处罚、行政复议，</w:t>
      </w:r>
      <w:r>
        <w:rPr>
          <w:rFonts w:ascii="宋体" w:hAnsi="宋体"/>
          <w:color w:val="000000" w:themeColor="text1"/>
          <w:sz w:val="24"/>
          <w14:textFill>
            <w14:solidFill>
              <w14:schemeClr w14:val="tx1"/>
            </w14:solidFill>
          </w14:textFill>
        </w:rPr>
        <w:t>未被列为失信被执行人</w:t>
      </w:r>
      <w:r>
        <w:rPr>
          <w:rFonts w:hint="eastAsia" w:ascii="宋体" w:hAnsi="宋体"/>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解散注销供销中百符合相关法律法规规定。供销中百持有第三方支付牌照，其清算注销尚需经中国人民银行总行批准。</w:t>
      </w:r>
    </w:p>
    <w:p>
      <w:pPr>
        <w:adjustRightInd w:val="0"/>
        <w:snapToGrid w:val="0"/>
        <w:spacing w:line="440" w:lineRule="exact"/>
        <w:ind w:firstLine="480" w:firstLineChars="20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四、关联交易的目的及对上市公司的影响</w:t>
      </w:r>
    </w:p>
    <w:p>
      <w:pPr>
        <w:adjustRightInd w:val="0"/>
        <w:snapToGrid w:val="0"/>
        <w:spacing w:line="440" w:lineRule="exact"/>
        <w:ind w:firstLine="482" w:firstLineChars="200"/>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（一）交易目的</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由于近几年支付政策环境发生重大变化、且供销中百牌照类型单一，多次增项未获批准，供销中百设立时预设的盈利模式不再成立，缺乏可持续健康发展的基础，通过解散清算供销中百，可加速收回投资资金，优化公司资源配置，集中资源发展主业，符合公司战略发展定位及长远利益。</w:t>
      </w:r>
    </w:p>
    <w:p>
      <w:pPr>
        <w:adjustRightInd w:val="0"/>
        <w:snapToGrid w:val="0"/>
        <w:spacing w:line="440" w:lineRule="exact"/>
        <w:ind w:firstLine="482" w:firstLineChars="200"/>
        <w:rPr>
          <w:rFonts w:ascii="楷体" w:hAnsi="楷体" w:eastAsia="楷体"/>
          <w:b/>
          <w:color w:val="000000" w:themeColor="text1"/>
          <w:sz w:val="24"/>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（二）本次交易对公司的影响</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供销中百作为公司的参股公司，不纳入公司合并报表范围，其解散清算对公司的经营发展影响较小。目前供销支付尚未进入清算程序，对公司损益的具体影响暂无法判断，公司将根据清算工作的后续进展情况，按照有关法律法规的规定和要求，及时履行相关信息披露义务。</w:t>
      </w:r>
    </w:p>
    <w:p>
      <w:pPr>
        <w:adjustRightInd w:val="0"/>
        <w:snapToGrid w:val="0"/>
        <w:spacing w:line="440" w:lineRule="exact"/>
        <w:ind w:firstLine="480" w:firstLineChars="20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五、与该关联人的历史关联交易情况</w:t>
      </w:r>
    </w:p>
    <w:p>
      <w:pPr>
        <w:adjustRightInd w:val="0"/>
        <w:snapToGrid w:val="0"/>
        <w:spacing w:line="44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除本次关联交易外，过去12个月内，公司与国创资本未发生关联交易。</w:t>
      </w:r>
    </w:p>
    <w:p>
      <w:pPr>
        <w:adjustRightInd w:val="0"/>
        <w:snapToGrid w:val="0"/>
        <w:spacing w:line="440" w:lineRule="exact"/>
        <w:ind w:firstLine="480" w:firstLineChars="20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六、其他事项</w:t>
      </w:r>
    </w:p>
    <w:p>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若获中国人民银行总行批准，公司将根据《公司法》等有关规定，与各方股东共同组成清算组，对供销中百的资产、债权债务等进行清算处置，以出资额承担相应责任、享有相应权益，聘请专业机构开展清算审计和资产评估，直至依法办理供销中百工商注销手续。</w:t>
      </w:r>
    </w:p>
    <w:p>
      <w:pPr>
        <w:pStyle w:val="13"/>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cs="黑体"/>
          <w:bCs/>
        </w:rPr>
      </w:pPr>
      <w:r>
        <w:rPr>
          <w:rFonts w:hint="eastAsia" w:cs="黑体"/>
          <w:bCs/>
          <w:lang w:val="en-US" w:eastAsia="zh-CN"/>
        </w:rPr>
        <w:t>七</w:t>
      </w:r>
      <w:r>
        <w:rPr>
          <w:rFonts w:cs="黑体"/>
          <w:bCs/>
        </w:rPr>
        <w:t>、独立董事</w:t>
      </w:r>
      <w:r>
        <w:rPr>
          <w:rFonts w:hint="eastAsia" w:cs="黑体"/>
          <w:bCs/>
          <w:lang w:val="en-US" w:eastAsia="zh-CN"/>
        </w:rPr>
        <w:t>事前认可及独立</w:t>
      </w:r>
      <w:r>
        <w:rPr>
          <w:rFonts w:cs="黑体"/>
          <w:bCs/>
        </w:rPr>
        <w:t xml:space="preserve">意见 </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jc w:val="left"/>
        <w:textAlignment w:val="auto"/>
        <w:rPr>
          <w:rFonts w:ascii="Times New Roman" w:hAnsi="Times New Roman"/>
          <w:bCs/>
          <w:sz w:val="24"/>
        </w:rPr>
      </w:pPr>
      <w:r>
        <w:rPr>
          <w:rFonts w:ascii="Times New Roman" w:hAnsi="Times New Roman"/>
          <w:bCs/>
          <w:sz w:val="24"/>
        </w:rPr>
        <w:t>公司独立董事对上述关联交易事项进行了事前认可：</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jc w:val="left"/>
        <w:textAlignment w:val="auto"/>
        <w:rPr>
          <w:rFonts w:ascii="Times New Roman" w:hAnsi="Times New Roman" w:eastAsiaTheme="majorEastAsia"/>
          <w:bCs/>
          <w:sz w:val="24"/>
        </w:rPr>
      </w:pPr>
      <w:r>
        <w:rPr>
          <w:rFonts w:hint="eastAsia" w:asciiTheme="minorEastAsia" w:hAnsiTheme="minorEastAsia" w:eastAsiaTheme="minorEastAsia"/>
          <w:color w:val="000000"/>
          <w:kern w:val="0"/>
          <w:sz w:val="24"/>
        </w:rPr>
        <w:t>我们认为本次解散清算供销中百支付有限公司事项，是公司基于自身发展和经营管理角度考虑做出的决策，符合相关法律法规、规范性文件及《公司章程》的规定，不存在损害公司及全体股东，特别是中小股东利益的情形。同意将《关于解散清算参股公司暨关联交易的议案》提交董事会审议表决，关联董事应回避表决。</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jc w:val="left"/>
        <w:textAlignment w:val="auto"/>
        <w:rPr>
          <w:rFonts w:ascii="Times New Roman" w:hAnsi="Times New Roman" w:eastAsiaTheme="majorEastAsia"/>
          <w:bCs/>
          <w:sz w:val="24"/>
        </w:rPr>
      </w:pPr>
      <w:r>
        <w:rPr>
          <w:rFonts w:ascii="Times New Roman" w:hAnsi="Times New Roman"/>
          <w:bCs/>
          <w:sz w:val="24"/>
        </w:rPr>
        <w:t>公司独立董事对上述</w:t>
      </w:r>
      <w:r>
        <w:rPr>
          <w:rFonts w:hint="eastAsia" w:ascii="Times New Roman" w:hAnsi="Times New Roman"/>
          <w:bCs/>
          <w:sz w:val="24"/>
        </w:rPr>
        <w:t>关联交易事项</w:t>
      </w:r>
      <w:r>
        <w:rPr>
          <w:rFonts w:ascii="Times New Roman" w:hAnsi="Times New Roman"/>
          <w:bCs/>
          <w:sz w:val="24"/>
        </w:rPr>
        <w:t>发表了独立意见：</w:t>
      </w:r>
    </w:p>
    <w:p>
      <w:pPr>
        <w:pStyle w:val="6"/>
        <w:keepNext w:val="0"/>
        <w:keepLines w:val="0"/>
        <w:pageBreakBefore w:val="0"/>
        <w:widowControl w:val="0"/>
        <w:kinsoku/>
        <w:wordWrap/>
        <w:overflowPunct/>
        <w:topLinePunct w:val="0"/>
        <w:bidi w:val="0"/>
        <w:adjustRightInd w:val="0"/>
        <w:snapToGrid w:val="0"/>
        <w:spacing w:after="0" w:line="440" w:lineRule="exact"/>
        <w:ind w:left="0" w:leftChars="0" w:firstLine="480" w:firstLineChars="200"/>
        <w:textAlignment w:val="auto"/>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本次拟解散清算参股公司，可加速收回投资资金，集中资源发展主业，有利于提升资金使用效率，促进公司长远发展。该事项的审议、决策程序符合《公司法》《深圳证券交易所股票上市规则》等法律法规及《公司章程》的有关规定。在董事会对该议案进行表决时，关联董事李军先生、汪梅方先生、邵博女士回避表决，程序合法。关联交易事项公平、公开、公正，不存在损害公司和全体股东，特别是中小股东利益的行为，同意解散清算供销中百支付有限公司。</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jc w:val="left"/>
        <w:textAlignment w:val="auto"/>
        <w:rPr>
          <w:rFonts w:ascii="Times New Roman" w:hAnsi="Times New Roman" w:eastAsiaTheme="majorEastAsia"/>
          <w:bCs/>
          <w:sz w:val="24"/>
        </w:rPr>
      </w:pPr>
      <w:r>
        <w:rPr>
          <w:rFonts w:hint="eastAsia" w:ascii="黑体" w:hAnsi="黑体" w:eastAsia="黑体"/>
          <w:bCs/>
          <w:sz w:val="24"/>
          <w:lang w:val="en-US" w:eastAsia="zh-CN"/>
        </w:rPr>
        <w:t>八</w:t>
      </w:r>
      <w:r>
        <w:rPr>
          <w:rFonts w:ascii="黑体" w:hAnsi="黑体" w:eastAsia="黑体"/>
          <w:bCs/>
          <w:sz w:val="24"/>
        </w:rPr>
        <w:t>、备查文件</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jc w:val="left"/>
        <w:textAlignment w:val="auto"/>
        <w:rPr>
          <w:rFonts w:ascii="Times New Roman" w:hAnsi="Times New Roman" w:eastAsiaTheme="majorEastAsia"/>
          <w:bCs/>
          <w:sz w:val="24"/>
        </w:rPr>
      </w:pPr>
      <w:r>
        <w:rPr>
          <w:rFonts w:ascii="Times New Roman" w:hAnsi="Times New Roman"/>
          <w:bCs/>
          <w:sz w:val="24"/>
        </w:rPr>
        <w:t>（一）公司第</w:t>
      </w:r>
      <w:r>
        <w:rPr>
          <w:rFonts w:hint="eastAsia" w:ascii="Times New Roman" w:hAnsi="Times New Roman"/>
          <w:bCs/>
          <w:sz w:val="24"/>
        </w:rPr>
        <w:t>十</w:t>
      </w:r>
      <w:r>
        <w:rPr>
          <w:rFonts w:ascii="Times New Roman" w:hAnsi="Times New Roman"/>
          <w:bCs/>
          <w:sz w:val="24"/>
        </w:rPr>
        <w:t>届董事会第</w:t>
      </w:r>
      <w:r>
        <w:rPr>
          <w:rFonts w:hint="eastAsia" w:ascii="Times New Roman" w:hAnsi="Times New Roman"/>
          <w:bCs/>
          <w:sz w:val="24"/>
          <w:lang w:val="en-US" w:eastAsia="zh-CN"/>
        </w:rPr>
        <w:t>十二</w:t>
      </w:r>
      <w:r>
        <w:rPr>
          <w:rFonts w:ascii="Times New Roman" w:hAnsi="Times New Roman"/>
          <w:bCs/>
          <w:sz w:val="24"/>
        </w:rPr>
        <w:t>次会议决议。</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jc w:val="left"/>
        <w:textAlignment w:val="auto"/>
        <w:rPr>
          <w:rFonts w:ascii="Times New Roman" w:hAnsi="Times New Roman" w:eastAsiaTheme="majorEastAsia"/>
          <w:bCs/>
          <w:sz w:val="24"/>
        </w:rPr>
      </w:pPr>
      <w:r>
        <w:rPr>
          <w:rFonts w:ascii="Times New Roman" w:hAnsi="Times New Roman"/>
          <w:bCs/>
          <w:sz w:val="24"/>
        </w:rPr>
        <w:t>（二）独立董事关于本次关联交易事项的事前认可和独立意见。</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jc w:val="left"/>
        <w:textAlignment w:val="auto"/>
        <w:rPr>
          <w:kern w:val="0"/>
          <w:sz w:val="24"/>
        </w:rPr>
      </w:pPr>
      <w:r>
        <w:rPr>
          <w:rFonts w:hint="eastAsia"/>
          <w:kern w:val="0"/>
          <w:sz w:val="24"/>
        </w:rPr>
        <w:t>特此公告。</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kern w:val="0"/>
          <w:sz w:val="24"/>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jc w:val="left"/>
        <w:textAlignment w:val="auto"/>
        <w:rPr>
          <w:rFonts w:ascii="Times New Roman" w:hAnsi="Times New Roman" w:eastAsiaTheme="majorEastAsia"/>
          <w:bCs/>
          <w:sz w:val="24"/>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2"/>
        <w:jc w:val="right"/>
        <w:textAlignment w:val="auto"/>
        <w:rPr>
          <w:rFonts w:asciiTheme="minorEastAsia" w:hAnsiTheme="minorEastAsia" w:eastAsiaTheme="minorEastAsia"/>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2"/>
        <w:jc w:val="right"/>
        <w:textAlignment w:val="auto"/>
        <w:rPr>
          <w:rFonts w:asciiTheme="minorEastAsia" w:hAnsiTheme="minorEastAsia" w:eastAsiaTheme="minorEastAsia"/>
          <w:sz w:val="24"/>
          <w:szCs w:val="24"/>
        </w:rPr>
      </w:pPr>
      <w:r>
        <w:rPr>
          <w:rFonts w:asciiTheme="minorEastAsia" w:hAnsiTheme="minorEastAsia" w:eastAsiaTheme="minorEastAsia"/>
          <w:sz w:val="24"/>
          <w:szCs w:val="24"/>
        </w:rPr>
        <w:t>中百控股集团股份有限公司</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480" w:firstLine="482"/>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 xml:space="preserve">                                               董  事  会</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600" w:firstLine="482"/>
        <w:jc w:val="right"/>
        <w:textAlignment w:val="auto"/>
        <w:rPr>
          <w:rFonts w:asciiTheme="minorEastAsia" w:hAnsiTheme="minorEastAsia" w:eastAsiaTheme="minorEastAsia"/>
          <w:sz w:val="24"/>
          <w:szCs w:val="24"/>
        </w:rPr>
      </w:pPr>
      <w:r>
        <w:rPr>
          <w:rFonts w:hint="eastAsia" w:asciiTheme="minorEastAsia" w:hAnsiTheme="minorEastAsia" w:eastAsiaTheme="minorEastAsia"/>
          <w:kern w:val="0"/>
          <w:sz w:val="24"/>
        </w:rPr>
        <w:t>2022年</w:t>
      </w:r>
      <w:r>
        <w:rPr>
          <w:rFonts w:hint="eastAsia" w:asciiTheme="minorEastAsia" w:hAnsiTheme="minorEastAsia" w:eastAsiaTheme="minorEastAsia"/>
          <w:kern w:val="0"/>
          <w:sz w:val="24"/>
          <w:lang w:val="en-US" w:eastAsia="zh-CN"/>
        </w:rPr>
        <w:t>5</w:t>
      </w:r>
      <w:r>
        <w:rPr>
          <w:rFonts w:hint="eastAsia" w:asciiTheme="minorEastAsia" w:hAnsiTheme="minorEastAsia" w:eastAsiaTheme="minorEastAsia"/>
          <w:kern w:val="0"/>
          <w:sz w:val="24"/>
        </w:rPr>
        <w:t>月2</w:t>
      </w:r>
      <w:r>
        <w:rPr>
          <w:rFonts w:hint="eastAsia" w:asciiTheme="minorEastAsia" w:hAnsiTheme="minorEastAsia" w:eastAsiaTheme="minorEastAsia"/>
          <w:kern w:val="0"/>
          <w:sz w:val="24"/>
          <w:lang w:val="en-US" w:eastAsia="zh-CN"/>
        </w:rPr>
        <w:t>5</w:t>
      </w:r>
      <w:r>
        <w:rPr>
          <w:rFonts w:hint="eastAsia" w:asciiTheme="minorEastAsia" w:hAnsiTheme="minorEastAsia" w:eastAsiaTheme="minorEastAsia"/>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Q2ZDI5NTY5ODZhYmZiNTg1MWIwOWQ4ZmRhOTkifQ=="/>
  </w:docVars>
  <w:rsids>
    <w:rsidRoot w:val="00CF530F"/>
    <w:rsid w:val="00010AB2"/>
    <w:rsid w:val="000433F8"/>
    <w:rsid w:val="00095DAE"/>
    <w:rsid w:val="000974F8"/>
    <w:rsid w:val="000A634A"/>
    <w:rsid w:val="000C6CF1"/>
    <w:rsid w:val="0010691C"/>
    <w:rsid w:val="00111377"/>
    <w:rsid w:val="001277B9"/>
    <w:rsid w:val="00130FC4"/>
    <w:rsid w:val="0015202D"/>
    <w:rsid w:val="00157C1D"/>
    <w:rsid w:val="00186077"/>
    <w:rsid w:val="00191E6F"/>
    <w:rsid w:val="001B4B30"/>
    <w:rsid w:val="001C6A2A"/>
    <w:rsid w:val="001E0FEE"/>
    <w:rsid w:val="001F067A"/>
    <w:rsid w:val="002331D4"/>
    <w:rsid w:val="002432D6"/>
    <w:rsid w:val="0024553B"/>
    <w:rsid w:val="0027341E"/>
    <w:rsid w:val="00274840"/>
    <w:rsid w:val="002A046A"/>
    <w:rsid w:val="002B018F"/>
    <w:rsid w:val="002C02FC"/>
    <w:rsid w:val="002D1B24"/>
    <w:rsid w:val="002D5CC3"/>
    <w:rsid w:val="002D6A97"/>
    <w:rsid w:val="002F79DA"/>
    <w:rsid w:val="0030667F"/>
    <w:rsid w:val="003372AD"/>
    <w:rsid w:val="00341DB8"/>
    <w:rsid w:val="0034463C"/>
    <w:rsid w:val="003A0834"/>
    <w:rsid w:val="0040367C"/>
    <w:rsid w:val="00415C4A"/>
    <w:rsid w:val="00420E8F"/>
    <w:rsid w:val="00430A03"/>
    <w:rsid w:val="00437A25"/>
    <w:rsid w:val="0044240D"/>
    <w:rsid w:val="004430C3"/>
    <w:rsid w:val="00443B26"/>
    <w:rsid w:val="004B6E96"/>
    <w:rsid w:val="005114AE"/>
    <w:rsid w:val="00517F83"/>
    <w:rsid w:val="00526DAA"/>
    <w:rsid w:val="00532579"/>
    <w:rsid w:val="005608C3"/>
    <w:rsid w:val="00584DD4"/>
    <w:rsid w:val="005C52FF"/>
    <w:rsid w:val="005C7ED1"/>
    <w:rsid w:val="00652952"/>
    <w:rsid w:val="00682F25"/>
    <w:rsid w:val="006969FD"/>
    <w:rsid w:val="006A0CA1"/>
    <w:rsid w:val="006B244E"/>
    <w:rsid w:val="006B7DED"/>
    <w:rsid w:val="006C77AB"/>
    <w:rsid w:val="006E5163"/>
    <w:rsid w:val="006E692D"/>
    <w:rsid w:val="006F418E"/>
    <w:rsid w:val="006F5D6D"/>
    <w:rsid w:val="006F78E9"/>
    <w:rsid w:val="00724C72"/>
    <w:rsid w:val="007371E9"/>
    <w:rsid w:val="00757A95"/>
    <w:rsid w:val="007C6802"/>
    <w:rsid w:val="007C6821"/>
    <w:rsid w:val="007E5997"/>
    <w:rsid w:val="007F00FC"/>
    <w:rsid w:val="008526F1"/>
    <w:rsid w:val="008742F4"/>
    <w:rsid w:val="00877B1E"/>
    <w:rsid w:val="008A7066"/>
    <w:rsid w:val="008B7695"/>
    <w:rsid w:val="008C64F6"/>
    <w:rsid w:val="008D1073"/>
    <w:rsid w:val="008F4000"/>
    <w:rsid w:val="00901DDE"/>
    <w:rsid w:val="00912F64"/>
    <w:rsid w:val="00945AE4"/>
    <w:rsid w:val="00957913"/>
    <w:rsid w:val="00965073"/>
    <w:rsid w:val="00983122"/>
    <w:rsid w:val="0098317F"/>
    <w:rsid w:val="0099545B"/>
    <w:rsid w:val="009A2BB2"/>
    <w:rsid w:val="009A3746"/>
    <w:rsid w:val="009A7FB0"/>
    <w:rsid w:val="009D3BF1"/>
    <w:rsid w:val="00A02668"/>
    <w:rsid w:val="00A02E92"/>
    <w:rsid w:val="00A03B9E"/>
    <w:rsid w:val="00A1247D"/>
    <w:rsid w:val="00A43C77"/>
    <w:rsid w:val="00A57B36"/>
    <w:rsid w:val="00A60559"/>
    <w:rsid w:val="00A84AA6"/>
    <w:rsid w:val="00A861F8"/>
    <w:rsid w:val="00A927EA"/>
    <w:rsid w:val="00AD38B2"/>
    <w:rsid w:val="00B070F7"/>
    <w:rsid w:val="00B10A78"/>
    <w:rsid w:val="00B15C5E"/>
    <w:rsid w:val="00B34B41"/>
    <w:rsid w:val="00B51B23"/>
    <w:rsid w:val="00B673C7"/>
    <w:rsid w:val="00B801CC"/>
    <w:rsid w:val="00BA1B64"/>
    <w:rsid w:val="00BB4BDD"/>
    <w:rsid w:val="00BF3069"/>
    <w:rsid w:val="00BF5F2C"/>
    <w:rsid w:val="00C1459A"/>
    <w:rsid w:val="00C338EE"/>
    <w:rsid w:val="00C430D9"/>
    <w:rsid w:val="00C67714"/>
    <w:rsid w:val="00CA021E"/>
    <w:rsid w:val="00CA2F35"/>
    <w:rsid w:val="00CE4BB5"/>
    <w:rsid w:val="00CF530F"/>
    <w:rsid w:val="00D24B22"/>
    <w:rsid w:val="00D526DE"/>
    <w:rsid w:val="00D54A86"/>
    <w:rsid w:val="00D6074A"/>
    <w:rsid w:val="00D670EB"/>
    <w:rsid w:val="00D70FAF"/>
    <w:rsid w:val="00D8532C"/>
    <w:rsid w:val="00DB3AF1"/>
    <w:rsid w:val="00DE4D9C"/>
    <w:rsid w:val="00DF78A7"/>
    <w:rsid w:val="00E055E3"/>
    <w:rsid w:val="00E0680F"/>
    <w:rsid w:val="00E10CA1"/>
    <w:rsid w:val="00E42EAF"/>
    <w:rsid w:val="00E47064"/>
    <w:rsid w:val="00E5207A"/>
    <w:rsid w:val="00E70F18"/>
    <w:rsid w:val="00E8586B"/>
    <w:rsid w:val="00E9798E"/>
    <w:rsid w:val="00ED6A29"/>
    <w:rsid w:val="00F1442B"/>
    <w:rsid w:val="00F34577"/>
    <w:rsid w:val="00F357D7"/>
    <w:rsid w:val="00F45B41"/>
    <w:rsid w:val="00F737BE"/>
    <w:rsid w:val="00FB1B7A"/>
    <w:rsid w:val="00FB266D"/>
    <w:rsid w:val="00FC5E46"/>
    <w:rsid w:val="00FE7B13"/>
    <w:rsid w:val="017012C8"/>
    <w:rsid w:val="1A8732DD"/>
    <w:rsid w:val="1D387D8F"/>
    <w:rsid w:val="204E4F5E"/>
    <w:rsid w:val="22E65BEC"/>
    <w:rsid w:val="23C47036"/>
    <w:rsid w:val="42ED3105"/>
    <w:rsid w:val="43BA5910"/>
    <w:rsid w:val="47B465AF"/>
    <w:rsid w:val="63811200"/>
    <w:rsid w:val="6C014110"/>
    <w:rsid w:val="6C3E7CFB"/>
    <w:rsid w:val="71B6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3"/>
    <w:next w:val="5"/>
    <w:qFormat/>
    <w:uiPriority w:val="0"/>
    <w:pPr>
      <w:snapToGrid w:val="0"/>
      <w:spacing w:line="288" w:lineRule="auto"/>
      <w:ind w:firstLine="880"/>
    </w:pPr>
    <w:rPr>
      <w:rFonts w:eastAsia="方正书宋简体"/>
      <w:sz w:val="24"/>
      <w:szCs w:val="21"/>
    </w:rPr>
  </w:style>
  <w:style w:type="paragraph" w:styleId="3">
    <w:name w:val="Body Text First Indent"/>
    <w:basedOn w:val="4"/>
    <w:semiHidden/>
    <w:unhideWhenUsed/>
    <w:qFormat/>
    <w:uiPriority w:val="0"/>
    <w:pPr>
      <w:ind w:firstLine="420" w:firstLineChars="100"/>
    </w:pPr>
    <w:rPr>
      <w:rFonts w:ascii="Calibri" w:hAnsi="Calibri"/>
      <w:szCs w:val="22"/>
    </w:rPr>
  </w:style>
  <w:style w:type="paragraph" w:styleId="4">
    <w:name w:val="Body Text"/>
    <w:basedOn w:val="1"/>
    <w:qFormat/>
    <w:uiPriority w:val="0"/>
    <w:pPr>
      <w:spacing w:after="120"/>
    </w:pPr>
    <w:rPr>
      <w:rFonts w:ascii="Times New Roman" w:hAnsi="Times New Roman"/>
      <w:szCs w:val="24"/>
    </w:rPr>
  </w:style>
  <w:style w:type="paragraph" w:styleId="5">
    <w:name w:val="Balloon Text"/>
    <w:basedOn w:val="1"/>
    <w:semiHidden/>
    <w:qFormat/>
    <w:uiPriority w:val="0"/>
    <w:rPr>
      <w:rFonts w:ascii="Times New Roman" w:hAnsi="Times New Roman"/>
      <w:sz w:val="18"/>
      <w:szCs w:val="18"/>
    </w:rPr>
  </w:style>
  <w:style w:type="paragraph" w:styleId="6">
    <w:name w:val="Body Text Indent"/>
    <w:basedOn w:val="1"/>
    <w:link w:val="14"/>
    <w:qFormat/>
    <w:uiPriority w:val="0"/>
    <w:pPr>
      <w:spacing w:after="120"/>
      <w:ind w:left="420" w:leftChars="200"/>
    </w:pPr>
    <w:rPr>
      <w:rFonts w:ascii="Times New Roman" w:hAnsi="Times New Roman"/>
      <w:szCs w:val="24"/>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12">
    <w:name w:val="Default Char"/>
    <w:basedOn w:val="11"/>
    <w:link w:val="13"/>
    <w:qFormat/>
    <w:locked/>
    <w:uiPriority w:val="0"/>
    <w:rPr>
      <w:rFonts w:ascii="黑体" w:hAnsi="黑体" w:eastAsia="黑体"/>
      <w:color w:val="000000"/>
      <w:sz w:val="24"/>
      <w:szCs w:val="24"/>
    </w:rPr>
  </w:style>
  <w:style w:type="paragraph" w:customStyle="1" w:styleId="13">
    <w:name w:val="Default"/>
    <w:link w:val="12"/>
    <w:qFormat/>
    <w:uiPriority w:val="0"/>
    <w:pPr>
      <w:widowControl w:val="0"/>
      <w:autoSpaceDE w:val="0"/>
      <w:autoSpaceDN w:val="0"/>
      <w:adjustRightInd w:val="0"/>
    </w:pPr>
    <w:rPr>
      <w:rFonts w:ascii="黑体" w:hAnsi="黑体" w:eastAsia="黑体" w:cstheme="minorBidi"/>
      <w:color w:val="000000"/>
      <w:kern w:val="2"/>
      <w:sz w:val="24"/>
      <w:szCs w:val="24"/>
      <w:lang w:val="en-US" w:eastAsia="zh-CN" w:bidi="ar-SA"/>
    </w:rPr>
  </w:style>
  <w:style w:type="character" w:customStyle="1" w:styleId="14">
    <w:name w:val="正文文本缩进 Char"/>
    <w:basedOn w:val="11"/>
    <w:link w:val="6"/>
    <w:qFormat/>
    <w:uiPriority w:val="0"/>
    <w:rPr>
      <w:rFonts w:ascii="Times New Roman" w:hAnsi="Times New Roman" w:eastAsia="宋体" w:cs="Times New Roman"/>
      <w:szCs w:val="24"/>
    </w:rPr>
  </w:style>
  <w:style w:type="character" w:customStyle="1" w:styleId="15">
    <w:name w:val="页眉 Char"/>
    <w:basedOn w:val="11"/>
    <w:link w:val="8"/>
    <w:semiHidden/>
    <w:qFormat/>
    <w:uiPriority w:val="99"/>
    <w:rPr>
      <w:rFonts w:ascii="Calibri" w:hAnsi="Calibri" w:eastAsia="宋体" w:cs="Times New Roman"/>
      <w:sz w:val="18"/>
      <w:szCs w:val="18"/>
    </w:rPr>
  </w:style>
  <w:style w:type="character" w:customStyle="1" w:styleId="16">
    <w:name w:val="页脚 Char"/>
    <w:basedOn w:val="11"/>
    <w:link w:val="7"/>
    <w:semiHidden/>
    <w:qFormat/>
    <w:uiPriority w:val="99"/>
    <w:rPr>
      <w:rFonts w:ascii="Calibri" w:hAnsi="Calibri" w:eastAsia="宋体" w:cs="Times New Roman"/>
      <w:sz w:val="18"/>
      <w:szCs w:val="18"/>
    </w:rPr>
  </w:style>
  <w:style w:type="character" w:customStyle="1" w:styleId="17">
    <w:name w:val="da"/>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7B9D9-77AC-4F77-BDEB-59381C5AB120}">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4449</Words>
  <Characters>4791</Characters>
  <Lines>23</Lines>
  <Paragraphs>6</Paragraphs>
  <TotalTime>55</TotalTime>
  <ScaleCrop>false</ScaleCrop>
  <LinksUpToDate>false</LinksUpToDate>
  <CharactersWithSpaces>4879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2017-03-18T06:11:00Z</dcterms:created>
  <dc:creator>陈雯</dc:creator>
  <cp:lastModifiedBy>王茂</cp:lastModifiedBy>
  <cp:lastPrinted>2017-04-21T08:24:00Z</cp:lastPrinted>
  <dcterms:modified xsi:type="dcterms:W3CDTF">2022-05-24T09:28:18Z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82A429DE667D4971ABE884C6234ECF30</vt:lpwstr>
  </property>
</Properties>
</file>