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_GB2312" w:hAnsi="Lucida Console" w:eastAsia="宋体"/>
          <w:sz w:val="24"/>
          <w:lang w:eastAsia="zh-CN"/>
        </w:rPr>
      </w:pPr>
      <w:r>
        <w:rPr>
          <w:rFonts w:hint="eastAsia"/>
          <w:kern w:val="0"/>
          <w:sz w:val="24"/>
        </w:rPr>
        <w:t>证券代码：</w:t>
      </w:r>
      <w:r>
        <w:rPr>
          <w:kern w:val="0"/>
          <w:sz w:val="24"/>
        </w:rPr>
        <w:t xml:space="preserve">000759        </w:t>
      </w:r>
      <w:r>
        <w:rPr>
          <w:rFonts w:hint="eastAsia"/>
          <w:kern w:val="0"/>
          <w:sz w:val="24"/>
        </w:rPr>
        <w:t>证券简称：中百集团</w:t>
      </w:r>
      <w:r>
        <w:rPr>
          <w:kern w:val="0"/>
          <w:sz w:val="24"/>
        </w:rPr>
        <w:t xml:space="preserve">        </w:t>
      </w:r>
      <w:r>
        <w:rPr>
          <w:rFonts w:hint="eastAsia"/>
          <w:kern w:val="0"/>
          <w:sz w:val="24"/>
        </w:rPr>
        <w:t>公告编号：</w:t>
      </w:r>
      <w:r>
        <w:rPr>
          <w:kern w:val="0"/>
          <w:sz w:val="24"/>
        </w:rPr>
        <w:t>20</w:t>
      </w:r>
      <w:r>
        <w:rPr>
          <w:rFonts w:hint="eastAsia"/>
          <w:kern w:val="0"/>
          <w:sz w:val="24"/>
        </w:rPr>
        <w:t>22-02</w:t>
      </w:r>
      <w:r>
        <w:rPr>
          <w:rFonts w:hint="eastAsia"/>
          <w:kern w:val="0"/>
          <w:sz w:val="24"/>
          <w:lang w:val="en-US" w:eastAsia="zh-CN"/>
        </w:rPr>
        <w:t>6</w:t>
      </w:r>
    </w:p>
    <w:p>
      <w:pPr>
        <w:adjustRightInd w:val="0"/>
        <w:snapToGrid w:val="0"/>
        <w:jc w:val="center"/>
        <w:rPr>
          <w:rStyle w:val="16"/>
          <w:rFonts w:ascii="仿宋_GB2312" w:hAnsi="Lucida Console" w:eastAsia="仿宋_GB2312"/>
          <w:sz w:val="18"/>
          <w:szCs w:val="18"/>
        </w:rPr>
      </w:pPr>
    </w:p>
    <w:p>
      <w:pPr>
        <w:pStyle w:val="7"/>
        <w:adjustRightInd w:val="0"/>
        <w:snapToGrid w:val="0"/>
        <w:spacing w:before="0" w:beforeAutospacing="0" w:after="0" w:afterAutospacing="0"/>
        <w:ind w:right="178" w:rightChars="85"/>
        <w:jc w:val="center"/>
        <w:rPr>
          <w:rStyle w:val="16"/>
          <w:rFonts w:ascii="Times New Roman" w:hAnsi="Times New Roman" w:eastAsia="黑体" w:cs="Times New Roman"/>
          <w:color w:val="auto"/>
          <w:sz w:val="36"/>
          <w:szCs w:val="36"/>
        </w:rPr>
      </w:pPr>
      <w:r>
        <w:rPr>
          <w:rStyle w:val="16"/>
          <w:rFonts w:hint="eastAsia" w:ascii="Times New Roman" w:hAnsi="Times New Roman" w:eastAsia="黑体" w:cs="Times New Roman"/>
          <w:color w:val="auto"/>
          <w:sz w:val="36"/>
          <w:szCs w:val="36"/>
        </w:rPr>
        <w:t>中百控股集团股份有限公司</w:t>
      </w:r>
    </w:p>
    <w:p>
      <w:pPr>
        <w:pStyle w:val="7"/>
        <w:adjustRightInd w:val="0"/>
        <w:snapToGrid w:val="0"/>
        <w:spacing w:before="0" w:beforeAutospacing="0" w:after="0" w:afterAutospacing="0"/>
        <w:ind w:right="178" w:rightChars="85"/>
        <w:jc w:val="center"/>
        <w:rPr>
          <w:rStyle w:val="16"/>
          <w:rFonts w:ascii="Times New Roman" w:hAnsi="Times New Roman" w:eastAsia="黑体" w:cs="Times New Roman"/>
          <w:color w:val="auto"/>
          <w:sz w:val="36"/>
          <w:szCs w:val="36"/>
        </w:rPr>
      </w:pPr>
      <w:r>
        <w:rPr>
          <w:rStyle w:val="16"/>
          <w:rFonts w:hint="eastAsia" w:ascii="Times New Roman" w:hAnsi="Times New Roman" w:eastAsia="黑体" w:cs="Times New Roman"/>
          <w:color w:val="auto"/>
          <w:sz w:val="36"/>
          <w:szCs w:val="36"/>
        </w:rPr>
        <w:t>第十届董事会第十</w:t>
      </w:r>
      <w:r>
        <w:rPr>
          <w:rStyle w:val="16"/>
          <w:rFonts w:hint="eastAsia" w:ascii="Times New Roman" w:hAnsi="Times New Roman" w:eastAsia="黑体" w:cs="Times New Roman"/>
          <w:color w:val="auto"/>
          <w:sz w:val="36"/>
          <w:szCs w:val="36"/>
          <w:lang w:val="en-US" w:eastAsia="zh-CN"/>
        </w:rPr>
        <w:t>二</w:t>
      </w:r>
      <w:r>
        <w:rPr>
          <w:rStyle w:val="16"/>
          <w:rFonts w:hint="eastAsia" w:ascii="Times New Roman" w:hAnsi="Times New Roman" w:eastAsia="黑体" w:cs="Times New Roman"/>
          <w:color w:val="auto"/>
          <w:sz w:val="36"/>
          <w:szCs w:val="36"/>
        </w:rPr>
        <w:t>次</w:t>
      </w:r>
      <w:r>
        <w:rPr>
          <w:rStyle w:val="16"/>
          <w:rFonts w:hint="eastAsia" w:eastAsia="黑体"/>
          <w:sz w:val="36"/>
          <w:szCs w:val="36"/>
        </w:rPr>
        <w:t>会议决议公告</w:t>
      </w:r>
    </w:p>
    <w:p>
      <w:pPr>
        <w:pStyle w:val="15"/>
        <w:snapToGrid w:val="0"/>
        <w:jc w:val="center"/>
        <w:rPr>
          <w:rStyle w:val="17"/>
          <w:rFonts w:hAnsi="黑体"/>
        </w:rPr>
      </w:pPr>
    </w:p>
    <w:tbl>
      <w:tblPr>
        <w:tblStyle w:val="8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</w:tcPr>
          <w:p>
            <w:pPr>
              <w:pStyle w:val="15"/>
              <w:spacing w:line="400" w:lineRule="exact"/>
              <w:ind w:firstLine="480" w:firstLineChars="200"/>
              <w:jc w:val="both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本公司及董事会全体成员保证信息披露的内容真实、准确、完整，没有虚假记载、误导性陈述或者重大遗漏。</w:t>
            </w:r>
          </w:p>
        </w:tc>
      </w:tr>
    </w:tbl>
    <w:p>
      <w:pPr>
        <w:pStyle w:val="7"/>
        <w:adjustRightInd w:val="0"/>
        <w:snapToGrid w:val="0"/>
        <w:spacing w:beforeLines="50" w:beforeAutospacing="0" w:after="0" w:afterAutospacing="0" w:line="440" w:lineRule="exact"/>
        <w:ind w:firstLine="480" w:firstLineChars="200"/>
        <w:jc w:val="both"/>
        <w:rPr>
          <w:rStyle w:val="16"/>
          <w:rFonts w:cs="Times New Roman"/>
        </w:rPr>
      </w:pPr>
      <w:r>
        <w:rPr>
          <w:rStyle w:val="16"/>
          <w:rFonts w:hint="eastAsia" w:cs="Times New Roman"/>
        </w:rPr>
        <w:t>中百控股集团股份有限公司（以下简称“公司”）第十届董事会第十</w:t>
      </w:r>
      <w:r>
        <w:rPr>
          <w:rStyle w:val="16"/>
          <w:rFonts w:hint="eastAsia" w:cs="Times New Roman"/>
          <w:lang w:val="en-US" w:eastAsia="zh-CN"/>
        </w:rPr>
        <w:t>二</w:t>
      </w:r>
      <w:r>
        <w:rPr>
          <w:rStyle w:val="16"/>
          <w:rFonts w:hint="eastAsia" w:cs="Times New Roman"/>
        </w:rPr>
        <w:t>次会议于2022年5月</w:t>
      </w:r>
      <w:r>
        <w:rPr>
          <w:rStyle w:val="16"/>
          <w:rFonts w:hint="eastAsia" w:cs="Times New Roman"/>
          <w:lang w:val="en-US" w:eastAsia="zh-CN"/>
        </w:rPr>
        <w:t>24</w:t>
      </w:r>
      <w:r>
        <w:rPr>
          <w:rStyle w:val="16"/>
          <w:rFonts w:hint="eastAsia" w:cs="Times New Roman"/>
        </w:rPr>
        <w:t>日以通讯表决的方式召开。本次会议通知于2022年5月</w:t>
      </w:r>
      <w:r>
        <w:rPr>
          <w:rStyle w:val="16"/>
          <w:rFonts w:hint="eastAsia" w:cs="Times New Roman"/>
          <w:lang w:val="en-US" w:eastAsia="zh-CN"/>
        </w:rPr>
        <w:t>17</w:t>
      </w:r>
      <w:r>
        <w:rPr>
          <w:rStyle w:val="16"/>
          <w:rFonts w:hint="eastAsia" w:cs="Times New Roman"/>
        </w:rPr>
        <w:t>日以电子邮件形式发出。应参会董事11名，实际参会董事11名。参加会议的董事符合法定人数，董事会会议的召集、召开及表决程序符合《公司法》及本公司章程的规定。</w:t>
      </w:r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480" w:firstLineChars="200"/>
        <w:jc w:val="both"/>
        <w:rPr>
          <w:rFonts w:hint="eastAsia"/>
        </w:rPr>
      </w:pPr>
      <w:r>
        <w:rPr>
          <w:rStyle w:val="16"/>
          <w:rFonts w:hint="eastAsia" w:cs="Times New Roman"/>
        </w:rPr>
        <w:t>会议审议并以</w:t>
      </w:r>
      <w:r>
        <w:rPr>
          <w:rStyle w:val="16"/>
          <w:rFonts w:hint="eastAsia" w:cs="Times New Roman"/>
          <w:lang w:val="en-US" w:eastAsia="zh-CN"/>
        </w:rPr>
        <w:t>8</w:t>
      </w:r>
      <w:r>
        <w:rPr>
          <w:rStyle w:val="16"/>
          <w:rFonts w:hint="eastAsia" w:cs="Times New Roman"/>
        </w:rPr>
        <w:t>票同意，0票反对，0票弃权通过了《关于解散清算参股公司暨关联交易的议案》。</w:t>
      </w:r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480" w:firstLineChars="200"/>
        <w:jc w:val="both"/>
        <w:rPr>
          <w:rFonts w:hint="eastAsia"/>
        </w:rPr>
      </w:pPr>
      <w:r>
        <w:rPr>
          <w:rFonts w:hint="eastAsia"/>
        </w:rPr>
        <w:t>该事项关联董事李军先生、汪梅方先生、邵博女士回避表决，8名非关联董事进行了表决。</w:t>
      </w:r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480" w:firstLineChars="200"/>
        <w:jc w:val="both"/>
      </w:pPr>
      <w:r>
        <w:rPr>
          <w:rFonts w:hint="eastAsia"/>
        </w:rPr>
        <w:t>具体内容详见公司同日刊登在《证券时报》《上海证券报》《中国证券报》及巨潮资讯网（www.cninfo.com.cn）上的《关于解散清算参股公司暨关联交易的公告》（公告编号：2022-02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）。</w:t>
      </w:r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480" w:firstLineChars="200"/>
        <w:jc w:val="both"/>
        <w:rPr>
          <w:rStyle w:val="16"/>
          <w:rFonts w:hint="eastAsia" w:cs="Times New Roman"/>
        </w:rPr>
      </w:pPr>
      <w:r>
        <w:rPr>
          <w:rFonts w:hint="eastAsia"/>
        </w:rPr>
        <w:t>公司独立董事对该议案进行了事前认可，并发表了独立意见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详见公司当日在巨潮资讯网披露的</w:t>
      </w:r>
      <w:r>
        <w:rPr>
          <w:rFonts w:hint="eastAsia"/>
          <w:lang w:val="en-US" w:eastAsia="zh-CN"/>
        </w:rPr>
        <w:t>《独立董事关于关联交易的事前认可意见》</w:t>
      </w:r>
      <w:r>
        <w:rPr>
          <w:rFonts w:hint="eastAsia"/>
        </w:rPr>
        <w:t>《独立董事关于第十届董事会第十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>次会议相关事项的独立意见》。</w:t>
      </w:r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480" w:firstLineChars="200"/>
        <w:jc w:val="both"/>
        <w:rPr>
          <w:rStyle w:val="16"/>
          <w:rFonts w:hint="eastAsia" w:cs="Times New Roman"/>
        </w:rPr>
      </w:pPr>
      <w:r>
        <w:rPr>
          <w:rStyle w:val="16"/>
          <w:rFonts w:hint="eastAsia" w:cs="Times New Roman"/>
        </w:rPr>
        <w:t>特此公告。</w:t>
      </w:r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480" w:firstLineChars="200"/>
        <w:jc w:val="both"/>
        <w:rPr>
          <w:rStyle w:val="16"/>
          <w:rFonts w:hint="eastAsia" w:cs="Times New Roman"/>
        </w:rPr>
      </w:pPr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480" w:firstLineChars="200"/>
        <w:jc w:val="both"/>
        <w:rPr>
          <w:rStyle w:val="16"/>
          <w:rFonts w:hint="eastAsia" w:cs="Times New Roman"/>
        </w:rPr>
      </w:pPr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480" w:firstLineChars="200"/>
        <w:jc w:val="both"/>
        <w:rPr>
          <w:rStyle w:val="16"/>
          <w:rFonts w:hint="eastAsia" w:cs="Times New Roman"/>
        </w:rPr>
      </w:pPr>
      <w:bookmarkStart w:id="0" w:name="_GoBack"/>
      <w:bookmarkEnd w:id="0"/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4560" w:firstLineChars="1900"/>
        <w:jc w:val="right"/>
        <w:rPr>
          <w:rStyle w:val="16"/>
          <w:rFonts w:hint="eastAsia" w:cs="Times New Roman"/>
        </w:rPr>
      </w:pPr>
      <w:r>
        <w:rPr>
          <w:rStyle w:val="16"/>
          <w:rFonts w:hint="eastAsia" w:cs="Times New Roman"/>
        </w:rPr>
        <w:t>中百控股集团股份有限公司</w:t>
      </w:r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6480" w:firstLineChars="2700"/>
        <w:jc w:val="both"/>
        <w:rPr>
          <w:rStyle w:val="16"/>
          <w:rFonts w:cs="Times New Roman"/>
        </w:rPr>
      </w:pPr>
      <w:r>
        <w:rPr>
          <w:rStyle w:val="16"/>
          <w:rFonts w:hint="eastAsia" w:cs="Times New Roman"/>
        </w:rPr>
        <w:t>董</w:t>
      </w:r>
      <w:r>
        <w:rPr>
          <w:rStyle w:val="16"/>
          <w:rFonts w:hint="eastAsia" w:cs="Times New Roman"/>
          <w:lang w:val="en-US" w:eastAsia="zh-CN"/>
        </w:rPr>
        <w:t xml:space="preserve"> </w:t>
      </w:r>
      <w:r>
        <w:rPr>
          <w:rStyle w:val="16"/>
          <w:rFonts w:hint="eastAsia" w:cs="Times New Roman"/>
        </w:rPr>
        <w:t>事</w:t>
      </w:r>
      <w:r>
        <w:rPr>
          <w:rStyle w:val="16"/>
          <w:rFonts w:hint="eastAsia" w:cs="Times New Roman"/>
          <w:lang w:val="en-US" w:eastAsia="zh-CN"/>
        </w:rPr>
        <w:t xml:space="preserve"> </w:t>
      </w:r>
      <w:r>
        <w:rPr>
          <w:rStyle w:val="16"/>
          <w:rFonts w:hint="eastAsia" w:cs="Times New Roman"/>
        </w:rPr>
        <w:t>会</w:t>
      </w:r>
    </w:p>
    <w:p>
      <w:pPr>
        <w:pStyle w:val="7"/>
        <w:adjustRightInd w:val="0"/>
        <w:snapToGrid w:val="0"/>
        <w:spacing w:before="0" w:beforeAutospacing="0" w:after="0" w:afterAutospacing="0" w:line="440" w:lineRule="exact"/>
        <w:ind w:firstLine="480" w:firstLineChars="200"/>
        <w:jc w:val="both"/>
        <w:rPr>
          <w:rStyle w:val="16"/>
        </w:rPr>
      </w:pPr>
      <w:r>
        <w:rPr>
          <w:rStyle w:val="16"/>
          <w:rFonts w:hint="eastAsia" w:cs="Times New Roman"/>
        </w:rPr>
        <w:t xml:space="preserve">                                          </w:t>
      </w:r>
      <w:r>
        <w:rPr>
          <w:rStyle w:val="16"/>
          <w:rFonts w:hint="eastAsia" w:cs="Times New Roman"/>
          <w:lang w:val="en-US" w:eastAsia="zh-CN"/>
        </w:rPr>
        <w:t xml:space="preserve">    </w:t>
      </w:r>
      <w:r>
        <w:rPr>
          <w:rStyle w:val="16"/>
          <w:rFonts w:hint="eastAsia" w:cs="Times New Roman"/>
        </w:rPr>
        <w:t xml:space="preserve"> 2022年5月</w:t>
      </w:r>
      <w:r>
        <w:rPr>
          <w:rStyle w:val="16"/>
          <w:rFonts w:hint="eastAsia" w:cs="Times New Roman"/>
          <w:lang w:val="en-US" w:eastAsia="zh-CN"/>
        </w:rPr>
        <w:t>25</w:t>
      </w:r>
      <w:r>
        <w:rPr>
          <w:rStyle w:val="16"/>
          <w:rFonts w:hint="eastAsia" w:cs="Times New Roman"/>
        </w:rPr>
        <w:t>日</w:t>
      </w:r>
    </w:p>
    <w:sectPr>
      <w:pgSz w:w="11906" w:h="16838"/>
      <w:pgMar w:top="1440" w:right="1797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Console">
    <w:panose1 w:val="020B0609040504020204"/>
    <w:charset w:val="00"/>
    <w:family w:val="modern"/>
    <w:pitch w:val="default"/>
    <w:sig w:usb0="8000028F" w:usb1="00001800" w:usb2="00000000" w:usb3="00000000" w:csb0="0000001F" w:csb1="D7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2YmQ2ZDI5NTY5ODZhYmZiNTg1MWIwOWQ4ZmRhOTkifQ=="/>
  </w:docVars>
  <w:rsids>
    <w:rsidRoot w:val="00FE041B"/>
    <w:rsid w:val="00014709"/>
    <w:rsid w:val="000153EE"/>
    <w:rsid w:val="00016FB8"/>
    <w:rsid w:val="0004360F"/>
    <w:rsid w:val="0005690A"/>
    <w:rsid w:val="00065E9E"/>
    <w:rsid w:val="0008353C"/>
    <w:rsid w:val="00084AFE"/>
    <w:rsid w:val="000932AE"/>
    <w:rsid w:val="000B6102"/>
    <w:rsid w:val="000E1412"/>
    <w:rsid w:val="000E54C6"/>
    <w:rsid w:val="00111150"/>
    <w:rsid w:val="00140B1C"/>
    <w:rsid w:val="00150AEA"/>
    <w:rsid w:val="001605C7"/>
    <w:rsid w:val="00182AE0"/>
    <w:rsid w:val="00186029"/>
    <w:rsid w:val="00187C92"/>
    <w:rsid w:val="001A3D4B"/>
    <w:rsid w:val="001A7CFD"/>
    <w:rsid w:val="001B00C8"/>
    <w:rsid w:val="001C5C4A"/>
    <w:rsid w:val="001F41F2"/>
    <w:rsid w:val="001F4BE7"/>
    <w:rsid w:val="00236681"/>
    <w:rsid w:val="00241685"/>
    <w:rsid w:val="002443C6"/>
    <w:rsid w:val="0027543D"/>
    <w:rsid w:val="00277948"/>
    <w:rsid w:val="002871CE"/>
    <w:rsid w:val="002A5507"/>
    <w:rsid w:val="002A75F0"/>
    <w:rsid w:val="002B158A"/>
    <w:rsid w:val="002B4F4C"/>
    <w:rsid w:val="002B4F99"/>
    <w:rsid w:val="002C5A9E"/>
    <w:rsid w:val="002C61DC"/>
    <w:rsid w:val="002C7CA4"/>
    <w:rsid w:val="002E1D58"/>
    <w:rsid w:val="002E20DA"/>
    <w:rsid w:val="002E63BD"/>
    <w:rsid w:val="002F3247"/>
    <w:rsid w:val="003101BB"/>
    <w:rsid w:val="0031582C"/>
    <w:rsid w:val="00325D8F"/>
    <w:rsid w:val="00326AAE"/>
    <w:rsid w:val="00363597"/>
    <w:rsid w:val="00382A05"/>
    <w:rsid w:val="003905A1"/>
    <w:rsid w:val="003A5C9C"/>
    <w:rsid w:val="003F258F"/>
    <w:rsid w:val="00404F05"/>
    <w:rsid w:val="0041055F"/>
    <w:rsid w:val="004150D2"/>
    <w:rsid w:val="00433843"/>
    <w:rsid w:val="004467FA"/>
    <w:rsid w:val="00454D78"/>
    <w:rsid w:val="00461F00"/>
    <w:rsid w:val="0047610B"/>
    <w:rsid w:val="00476791"/>
    <w:rsid w:val="0048467B"/>
    <w:rsid w:val="00490708"/>
    <w:rsid w:val="00495BA1"/>
    <w:rsid w:val="00497360"/>
    <w:rsid w:val="004C0B45"/>
    <w:rsid w:val="004C235A"/>
    <w:rsid w:val="004D2AC1"/>
    <w:rsid w:val="004D5CC4"/>
    <w:rsid w:val="004D6923"/>
    <w:rsid w:val="00515EA6"/>
    <w:rsid w:val="005227AB"/>
    <w:rsid w:val="00523816"/>
    <w:rsid w:val="00541312"/>
    <w:rsid w:val="005436B3"/>
    <w:rsid w:val="005436B4"/>
    <w:rsid w:val="00574BC3"/>
    <w:rsid w:val="00574EB5"/>
    <w:rsid w:val="00575136"/>
    <w:rsid w:val="005B0198"/>
    <w:rsid w:val="005C452C"/>
    <w:rsid w:val="005D0934"/>
    <w:rsid w:val="00602348"/>
    <w:rsid w:val="00606F89"/>
    <w:rsid w:val="0061224C"/>
    <w:rsid w:val="006145EC"/>
    <w:rsid w:val="0061618B"/>
    <w:rsid w:val="00627DA1"/>
    <w:rsid w:val="00632895"/>
    <w:rsid w:val="00633711"/>
    <w:rsid w:val="00636DCF"/>
    <w:rsid w:val="006620DA"/>
    <w:rsid w:val="00665C4F"/>
    <w:rsid w:val="006671AA"/>
    <w:rsid w:val="0067345D"/>
    <w:rsid w:val="00687005"/>
    <w:rsid w:val="007044D0"/>
    <w:rsid w:val="00707A04"/>
    <w:rsid w:val="00722862"/>
    <w:rsid w:val="0075755C"/>
    <w:rsid w:val="00760C2D"/>
    <w:rsid w:val="00764B7D"/>
    <w:rsid w:val="00794214"/>
    <w:rsid w:val="0079499D"/>
    <w:rsid w:val="007A6FD4"/>
    <w:rsid w:val="007F0F90"/>
    <w:rsid w:val="007F1395"/>
    <w:rsid w:val="00806441"/>
    <w:rsid w:val="008270AE"/>
    <w:rsid w:val="00830616"/>
    <w:rsid w:val="00832299"/>
    <w:rsid w:val="008669D3"/>
    <w:rsid w:val="008737B5"/>
    <w:rsid w:val="00880080"/>
    <w:rsid w:val="008D103E"/>
    <w:rsid w:val="008D2175"/>
    <w:rsid w:val="008E4F5F"/>
    <w:rsid w:val="008F06F6"/>
    <w:rsid w:val="009039E2"/>
    <w:rsid w:val="00924368"/>
    <w:rsid w:val="00927AB5"/>
    <w:rsid w:val="00940180"/>
    <w:rsid w:val="0096478B"/>
    <w:rsid w:val="00966D87"/>
    <w:rsid w:val="009703CF"/>
    <w:rsid w:val="00970439"/>
    <w:rsid w:val="009729DC"/>
    <w:rsid w:val="0097649F"/>
    <w:rsid w:val="00983DA7"/>
    <w:rsid w:val="0098481F"/>
    <w:rsid w:val="00985047"/>
    <w:rsid w:val="009921E7"/>
    <w:rsid w:val="009B5446"/>
    <w:rsid w:val="009C0974"/>
    <w:rsid w:val="009C30C8"/>
    <w:rsid w:val="009D44C6"/>
    <w:rsid w:val="009E70A6"/>
    <w:rsid w:val="00A301A4"/>
    <w:rsid w:val="00A57187"/>
    <w:rsid w:val="00A60C4C"/>
    <w:rsid w:val="00A66D25"/>
    <w:rsid w:val="00A95FE7"/>
    <w:rsid w:val="00A96BED"/>
    <w:rsid w:val="00AF5564"/>
    <w:rsid w:val="00AF635E"/>
    <w:rsid w:val="00B14841"/>
    <w:rsid w:val="00B33D8D"/>
    <w:rsid w:val="00B64F68"/>
    <w:rsid w:val="00B72A16"/>
    <w:rsid w:val="00B811A5"/>
    <w:rsid w:val="00B83139"/>
    <w:rsid w:val="00BA1723"/>
    <w:rsid w:val="00BA31E2"/>
    <w:rsid w:val="00BB00CE"/>
    <w:rsid w:val="00BB3E55"/>
    <w:rsid w:val="00BB4838"/>
    <w:rsid w:val="00BC7F54"/>
    <w:rsid w:val="00C22BE4"/>
    <w:rsid w:val="00C54E31"/>
    <w:rsid w:val="00C71443"/>
    <w:rsid w:val="00C72130"/>
    <w:rsid w:val="00C75D25"/>
    <w:rsid w:val="00C85F88"/>
    <w:rsid w:val="00CC5B4F"/>
    <w:rsid w:val="00CD05A5"/>
    <w:rsid w:val="00CD70A9"/>
    <w:rsid w:val="00D06A24"/>
    <w:rsid w:val="00D21859"/>
    <w:rsid w:val="00D350A6"/>
    <w:rsid w:val="00D36989"/>
    <w:rsid w:val="00D534CC"/>
    <w:rsid w:val="00D65A1A"/>
    <w:rsid w:val="00D711BE"/>
    <w:rsid w:val="00D97782"/>
    <w:rsid w:val="00DA4FAF"/>
    <w:rsid w:val="00DA632C"/>
    <w:rsid w:val="00DE789A"/>
    <w:rsid w:val="00DF15A3"/>
    <w:rsid w:val="00DF6983"/>
    <w:rsid w:val="00E2367E"/>
    <w:rsid w:val="00E46582"/>
    <w:rsid w:val="00E75874"/>
    <w:rsid w:val="00E918F7"/>
    <w:rsid w:val="00E970C5"/>
    <w:rsid w:val="00EA0196"/>
    <w:rsid w:val="00EA1D60"/>
    <w:rsid w:val="00EB6BA8"/>
    <w:rsid w:val="00ED419F"/>
    <w:rsid w:val="00ED4FC0"/>
    <w:rsid w:val="00F07580"/>
    <w:rsid w:val="00F17C5B"/>
    <w:rsid w:val="00F35D41"/>
    <w:rsid w:val="00F53155"/>
    <w:rsid w:val="00F64737"/>
    <w:rsid w:val="00F7092E"/>
    <w:rsid w:val="00F94B2A"/>
    <w:rsid w:val="00F97975"/>
    <w:rsid w:val="00FA02D4"/>
    <w:rsid w:val="00FC0B99"/>
    <w:rsid w:val="00FE041B"/>
    <w:rsid w:val="00FE57F7"/>
    <w:rsid w:val="05FB5173"/>
    <w:rsid w:val="08676977"/>
    <w:rsid w:val="09400E80"/>
    <w:rsid w:val="0F8D1C10"/>
    <w:rsid w:val="0FCD63B2"/>
    <w:rsid w:val="13CE309C"/>
    <w:rsid w:val="13F05D18"/>
    <w:rsid w:val="18655873"/>
    <w:rsid w:val="195E32A4"/>
    <w:rsid w:val="21A767F2"/>
    <w:rsid w:val="2885241A"/>
    <w:rsid w:val="2D5415A5"/>
    <w:rsid w:val="2FE518CD"/>
    <w:rsid w:val="30776281"/>
    <w:rsid w:val="394054AB"/>
    <w:rsid w:val="3D924CE0"/>
    <w:rsid w:val="3F051075"/>
    <w:rsid w:val="41A73595"/>
    <w:rsid w:val="43602E52"/>
    <w:rsid w:val="4878391C"/>
    <w:rsid w:val="48997943"/>
    <w:rsid w:val="4AB76D49"/>
    <w:rsid w:val="4C493722"/>
    <w:rsid w:val="4E3D7150"/>
    <w:rsid w:val="555611A9"/>
    <w:rsid w:val="59F909E2"/>
    <w:rsid w:val="5EF67496"/>
    <w:rsid w:val="61D27B22"/>
    <w:rsid w:val="65C85D34"/>
    <w:rsid w:val="668D6BA3"/>
    <w:rsid w:val="6B8471C1"/>
    <w:rsid w:val="6CA66065"/>
    <w:rsid w:val="6DC05E90"/>
    <w:rsid w:val="7AF831AC"/>
    <w:rsid w:val="7E58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  <w:rPr>
      <w:snapToGrid w:val="0"/>
      <w:kern w:val="0"/>
      <w:sz w:val="2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adjustRightInd w:val="0"/>
      <w:snapToGrid w:val="0"/>
      <w:spacing w:line="264" w:lineRule="auto"/>
      <w:ind w:firstLine="525"/>
    </w:pPr>
    <w:rPr>
      <w:snapToGrid w:val="0"/>
      <w:kern w:val="0"/>
      <w:sz w:val="28"/>
    </w:rPr>
  </w:style>
  <w:style w:type="paragraph" w:styleId="6">
    <w:name w:val="HTML Preformatted"/>
    <w:basedOn w:val="1"/>
    <w:link w:val="12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2">
    <w:name w:val="HTML 预设格式 Char"/>
    <w:basedOn w:val="9"/>
    <w:link w:val="6"/>
    <w:qFormat/>
    <w:uiPriority w:val="99"/>
    <w:rPr>
      <w:rFonts w:ascii="宋体" w:hAnsi="宋体" w:cs="宋体"/>
      <w:sz w:val="24"/>
      <w:szCs w:val="24"/>
    </w:rPr>
  </w:style>
  <w:style w:type="character" w:customStyle="1" w:styleId="13">
    <w:name w:val="pt0915"/>
    <w:basedOn w:val="9"/>
    <w:qFormat/>
    <w:uiPriority w:val="0"/>
  </w:style>
  <w:style w:type="character" w:customStyle="1" w:styleId="14">
    <w:name w:val="Default Char"/>
    <w:basedOn w:val="9"/>
    <w:link w:val="15"/>
    <w:qFormat/>
    <w:locked/>
    <w:uiPriority w:val="0"/>
    <w:rPr>
      <w:color w:val="000000"/>
      <w:sz w:val="24"/>
      <w:szCs w:val="24"/>
      <w:lang w:val="en-US" w:eastAsia="zh-CN" w:bidi="ar-SA"/>
    </w:rPr>
  </w:style>
  <w:style w:type="paragraph" w:customStyle="1" w:styleId="15">
    <w:name w:val="Default"/>
    <w:link w:val="14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da"/>
    <w:basedOn w:val="9"/>
    <w:qFormat/>
    <w:uiPriority w:val="0"/>
  </w:style>
  <w:style w:type="character" w:customStyle="1" w:styleId="17">
    <w:name w:val="da1"/>
    <w:qFormat/>
    <w:uiPriority w:val="0"/>
    <w:rPr>
      <w:rFonts w:hint="default" w:ascii="ˎ̥" w:hAnsi="ˎ̥"/>
      <w:color w:val="000000"/>
      <w:sz w:val="21"/>
      <w:szCs w:val="21"/>
      <w:u w:val="none"/>
    </w:rPr>
  </w:style>
  <w:style w:type="paragraph" w:customStyle="1" w:styleId="18">
    <w:name w:val="Char Char Char Char Char Char Char Char Char Char"/>
    <w:basedOn w:val="1"/>
    <w:qFormat/>
    <w:uiPriority w:val="0"/>
    <w:rPr>
      <w:szCs w:val="20"/>
    </w:rPr>
  </w:style>
  <w:style w:type="paragraph" w:styleId="19">
    <w:name w:val="No Spacing"/>
    <w:qFormat/>
    <w:uiPriority w:val="1"/>
    <w:pPr>
      <w:widowControl w:val="0"/>
    </w:pPr>
    <w:rPr>
      <w:rFonts w:ascii="Calibri" w:hAnsi="Calibri" w:eastAsia="宋体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zon100</Company>
  <Pages>1</Pages>
  <Words>510</Words>
  <Characters>559</Characters>
  <Lines>5</Lines>
  <Paragraphs>1</Paragraphs>
  <TotalTime>0</TotalTime>
  <ScaleCrop>false</ScaleCrop>
  <LinksUpToDate>false</LinksUpToDate>
  <CharactersWithSpaces>624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2018-01-15T01:53:00Z</dcterms:created>
  <dc:creator>zhangli</dc:creator>
  <cp:lastModifiedBy>王茂</cp:lastModifiedBy>
  <cp:lastPrinted>2021-06-01T01:43:00Z</cp:lastPrinted>
  <dcterms:modified xsi:type="dcterms:W3CDTF">2022-05-24T08:55:45Z</dcterms:modified>
  <dc:title>武汉中百集团股份有限公司关于召开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  <property fmtid="{D5CDD505-2E9C-101B-9397-08002B2CF9AE}" pid="5" name="KSOProductBuildVer">
    <vt:lpwstr>2052-11.1.0.11636</vt:lpwstr>
  </property>
  <property fmtid="{D5CDD505-2E9C-101B-9397-08002B2CF9AE}" pid="6" name="ICV">
    <vt:lpwstr>9F5E91FEE73140688909BC0978E07233</vt:lpwstr>
  </property>
</Properties>
</file>