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hAnsi="Lucida Console"/>
          <w:sz w:val="24"/>
        </w:rPr>
      </w:pPr>
      <w:r>
        <w:rPr>
          <w:rFonts w:hint="eastAsia"/>
          <w:kern w:val="0"/>
          <w:sz w:val="24"/>
        </w:rPr>
        <w:t>证券代码：</w:t>
      </w:r>
      <w:r>
        <w:rPr>
          <w:kern w:val="0"/>
          <w:sz w:val="24"/>
        </w:rPr>
        <w:t xml:space="preserve">000759        </w:t>
      </w:r>
      <w:r>
        <w:rPr>
          <w:rFonts w:hint="eastAsia"/>
          <w:kern w:val="0"/>
          <w:sz w:val="24"/>
        </w:rPr>
        <w:t>证券简称：中百集团</w:t>
      </w:r>
      <w:r>
        <w:rPr>
          <w:kern w:val="0"/>
          <w:sz w:val="24"/>
        </w:rPr>
        <w:t xml:space="preserve">        </w:t>
      </w:r>
      <w:r>
        <w:rPr>
          <w:rFonts w:hint="eastAsia"/>
          <w:kern w:val="0"/>
          <w:sz w:val="24"/>
        </w:rPr>
        <w:t>公告编号：</w:t>
      </w:r>
      <w:r>
        <w:rPr>
          <w:kern w:val="0"/>
          <w:sz w:val="24"/>
        </w:rPr>
        <w:t>20</w:t>
      </w:r>
      <w:r>
        <w:rPr>
          <w:rFonts w:hint="eastAsia"/>
          <w:kern w:val="0"/>
          <w:sz w:val="24"/>
        </w:rPr>
        <w:t>22-024</w:t>
      </w:r>
    </w:p>
    <w:p>
      <w:pPr>
        <w:adjustRightInd w:val="0"/>
        <w:snapToGrid w:val="0"/>
        <w:jc w:val="center"/>
        <w:rPr>
          <w:rStyle w:val="13"/>
          <w:rFonts w:ascii="仿宋_GB2312" w:hAnsi="Lucida Console" w:eastAsia="仿宋_GB2312"/>
          <w:sz w:val="18"/>
          <w:szCs w:val="18"/>
        </w:rPr>
      </w:pPr>
    </w:p>
    <w:p>
      <w:pPr>
        <w:pStyle w:val="9"/>
        <w:adjustRightInd w:val="0"/>
        <w:snapToGrid w:val="0"/>
        <w:spacing w:before="0" w:beforeAutospacing="0" w:after="0" w:afterAutospacing="0"/>
        <w:ind w:right="178" w:rightChars="85"/>
        <w:jc w:val="center"/>
        <w:rPr>
          <w:rStyle w:val="13"/>
          <w:rFonts w:ascii="Times New Roman" w:hAnsi="Times New Roman" w:eastAsia="黑体" w:cs="Times New Roman"/>
          <w:color w:val="auto"/>
          <w:sz w:val="36"/>
          <w:szCs w:val="36"/>
        </w:rPr>
      </w:pPr>
      <w:r>
        <w:rPr>
          <w:rStyle w:val="13"/>
          <w:rFonts w:hint="eastAsia" w:ascii="Times New Roman" w:hAnsi="Times New Roman" w:eastAsia="黑体" w:cs="Times New Roman"/>
          <w:color w:val="auto"/>
          <w:sz w:val="36"/>
          <w:szCs w:val="36"/>
        </w:rPr>
        <w:t>中百控股集团股份有限公司</w:t>
      </w:r>
    </w:p>
    <w:p>
      <w:pPr>
        <w:pStyle w:val="9"/>
        <w:adjustRightInd w:val="0"/>
        <w:snapToGrid w:val="0"/>
        <w:spacing w:before="0" w:beforeAutospacing="0" w:after="0" w:afterAutospacing="0"/>
        <w:ind w:right="178" w:rightChars="85"/>
        <w:jc w:val="center"/>
        <w:rPr>
          <w:rStyle w:val="13"/>
          <w:rFonts w:ascii="Times New Roman" w:hAnsi="Times New Roman" w:eastAsia="黑体" w:cs="Times New Roman"/>
          <w:color w:val="auto"/>
          <w:sz w:val="36"/>
          <w:szCs w:val="36"/>
        </w:rPr>
      </w:pPr>
      <w:r>
        <w:rPr>
          <w:rStyle w:val="13"/>
          <w:rFonts w:hint="eastAsia" w:ascii="Times New Roman" w:hAnsi="Times New Roman" w:eastAsia="黑体" w:cs="Times New Roman"/>
          <w:color w:val="auto"/>
          <w:sz w:val="36"/>
          <w:szCs w:val="36"/>
        </w:rPr>
        <w:t>关于筹划股权激励计划的提示性公告</w:t>
      </w:r>
    </w:p>
    <w:p>
      <w:pPr>
        <w:pStyle w:val="14"/>
        <w:snapToGrid w:val="0"/>
        <w:jc w:val="center"/>
        <w:rPr>
          <w:rStyle w:val="15"/>
          <w:rFonts w:hAnsi="黑体"/>
        </w:rPr>
      </w:pPr>
    </w:p>
    <w:tbl>
      <w:tblPr>
        <w:tblStyle w:val="1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64" w:type="dxa"/>
          </w:tcPr>
          <w:p>
            <w:pPr>
              <w:pStyle w:val="14"/>
              <w:spacing w:line="400" w:lineRule="exact"/>
              <w:ind w:firstLine="480" w:firstLineChars="200"/>
              <w:jc w:val="both"/>
              <w:rPr>
                <w:rFonts w:ascii="楷体" w:hAnsi="楷体" w:eastAsia="楷体"/>
              </w:rPr>
            </w:pPr>
            <w:r>
              <w:rPr>
                <w:rFonts w:hint="eastAsia" w:ascii="楷体" w:hAnsi="楷体" w:eastAsia="楷体"/>
              </w:rPr>
              <w:t>本公司及董事会全体成员保证信息披露的内容真实、准确、完整，没有虚假记载、误导性陈述或者重大遗漏。</w:t>
            </w:r>
          </w:p>
        </w:tc>
      </w:tr>
    </w:tbl>
    <w:p>
      <w:pPr>
        <w:adjustRightInd w:val="0"/>
        <w:snapToGrid w:val="0"/>
        <w:spacing w:line="360" w:lineRule="auto"/>
        <w:ind w:firstLine="480" w:firstLineChars="200"/>
        <w:rPr>
          <w:rFonts w:ascii="宋体" w:hAnsi="宋体"/>
          <w:sz w:val="24"/>
        </w:rPr>
      </w:pPr>
    </w:p>
    <w:p>
      <w:pPr>
        <w:adjustRightInd w:val="0"/>
        <w:snapToGrid w:val="0"/>
        <w:spacing w:line="360" w:lineRule="auto"/>
        <w:ind w:firstLine="480" w:firstLineChars="200"/>
        <w:rPr>
          <w:rFonts w:ascii="宋体" w:hAnsi="宋体"/>
          <w:sz w:val="24"/>
        </w:rPr>
      </w:pPr>
      <w:r>
        <w:rPr>
          <w:rFonts w:hint="eastAsia" w:ascii="宋体" w:hAnsi="宋体"/>
          <w:sz w:val="24"/>
        </w:rPr>
        <w:t>中百控股集团股份有限公司（以下简称“公司”）为进一步建立健全公司长效激励机制，充分调动公司各级管理人员和核心骨干员工的积极性，将股东利益、公司利益和员工个人利益结合在一起，促进公司长期、持续、健康发展，根据《公司法》《证券法》《上市公司股权激励管理办法》《国有控股上市公司（境内）实施股权激励试行办法》等有关法律、法规和规范性文件以及《公司章程》的规定，拟筹划推出限制性股票激励计划（以下简称“激励计划”）事项。现将其主要内容及相关事项提示性公告如下：</w:t>
      </w:r>
    </w:p>
    <w:p>
      <w:pPr>
        <w:pStyle w:val="2"/>
        <w:adjustRightInd w:val="0"/>
        <w:spacing w:after="0" w:line="360" w:lineRule="auto"/>
        <w:ind w:firstLine="480" w:firstLineChars="200"/>
        <w:rPr>
          <w:rFonts w:ascii="黑体" w:hAnsi="黑体" w:eastAsia="黑体" w:cs="黑体"/>
        </w:rPr>
      </w:pPr>
      <w:r>
        <w:rPr>
          <w:rFonts w:hint="eastAsia" w:ascii="黑体" w:hAnsi="黑体" w:eastAsia="黑体" w:cs="黑体"/>
        </w:rPr>
        <w:t>一、激励计划的形式及来源</w:t>
      </w:r>
    </w:p>
    <w:p>
      <w:pPr>
        <w:pStyle w:val="2"/>
        <w:adjustRightInd w:val="0"/>
        <w:spacing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经初步研究，本次激励计划拟采用限制性股票激励形式。股票来源为公司从二级市场回购的本公司人民币A股普通股股票。</w:t>
      </w:r>
    </w:p>
    <w:p>
      <w:pPr>
        <w:pStyle w:val="2"/>
        <w:adjustRightInd w:val="0"/>
        <w:spacing w:after="0" w:line="360" w:lineRule="auto"/>
        <w:ind w:firstLine="480" w:firstLineChars="200"/>
        <w:rPr>
          <w:rFonts w:ascii="黑体" w:hAnsi="黑体" w:eastAsia="黑体" w:cs="黑体"/>
        </w:rPr>
      </w:pPr>
      <w:r>
        <w:rPr>
          <w:rFonts w:hint="eastAsia" w:ascii="黑体" w:hAnsi="黑体" w:eastAsia="黑体" w:cs="黑体"/>
        </w:rPr>
        <w:t>二、激励计划所涉及的标的股票数量</w:t>
      </w:r>
    </w:p>
    <w:p>
      <w:pPr>
        <w:pStyle w:val="2"/>
        <w:adjustRightInd w:val="0"/>
        <w:spacing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本次激励计划拟向激励对象授予总计不超过24,992,014股限制性股票，约占公司目前总股本681,021,500股的3.67%。</w:t>
      </w:r>
    </w:p>
    <w:p>
      <w:pPr>
        <w:pStyle w:val="2"/>
        <w:adjustRightInd w:val="0"/>
        <w:spacing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公司全部有效期内股权激励计划所涉及的标的股票总数不超过公司股本总额的10%。激励计划中任何一名激励对象通过全部有效期内的股权激励计划获授的公司股票数量不超过公司股本总额的1%。本次股权激励计划的具体激励规模，待公司董事会讨论确定后，在后续的激励计划草案中予以明确。</w:t>
      </w:r>
    </w:p>
    <w:p>
      <w:pPr>
        <w:pStyle w:val="2"/>
        <w:adjustRightInd w:val="0"/>
        <w:spacing w:after="0" w:line="360" w:lineRule="auto"/>
        <w:ind w:firstLine="480" w:firstLineChars="200"/>
        <w:rPr>
          <w:rFonts w:ascii="黑体" w:hAnsi="黑体" w:eastAsia="黑体" w:cs="黑体"/>
        </w:rPr>
      </w:pPr>
      <w:r>
        <w:rPr>
          <w:rFonts w:hint="eastAsia" w:ascii="黑体" w:hAnsi="黑体" w:eastAsia="黑体" w:cs="黑体"/>
        </w:rPr>
        <w:t>三、本次股权激励计划的激励对象</w:t>
      </w:r>
    </w:p>
    <w:p>
      <w:pPr>
        <w:pStyle w:val="2"/>
        <w:adjustRightInd w:val="0"/>
        <w:spacing w:after="0" w:line="360" w:lineRule="auto"/>
        <w:ind w:firstLine="480" w:firstLineChars="200"/>
        <w:rPr>
          <w:rFonts w:asciiTheme="minorEastAsia" w:hAnsiTheme="minorEastAsia" w:eastAsiaTheme="minorEastAsia"/>
        </w:rPr>
      </w:pPr>
      <w:r>
        <w:rPr>
          <w:rFonts w:hint="eastAsia" w:asciiTheme="minorEastAsia" w:hAnsiTheme="minorEastAsia" w:eastAsiaTheme="minorEastAsia"/>
        </w:rPr>
        <w:t>本次激励计划拟激励对象范围为公司董事、高级管理人员、中层管理人员及核心骨干人员，不包括独立董事、监事、单独或合计持股5%以上的股东或实际控制人及其配偶、父母、子女。具体激励对象名单、人数、激励规模、授予价格、业绩考核指标等事项，待公司董事会充分研究讨论后，在后续的激励计划草案中予以明确。</w:t>
      </w:r>
    </w:p>
    <w:p>
      <w:pPr>
        <w:pStyle w:val="2"/>
        <w:adjustRightInd w:val="0"/>
        <w:spacing w:after="0" w:line="360" w:lineRule="auto"/>
        <w:ind w:firstLine="480" w:firstLineChars="200"/>
        <w:rPr>
          <w:rFonts w:ascii="黑体" w:hAnsi="黑体" w:eastAsia="黑体" w:cs="黑体"/>
        </w:rPr>
      </w:pPr>
      <w:r>
        <w:rPr>
          <w:rFonts w:hint="eastAsia" w:ascii="黑体" w:hAnsi="黑体" w:eastAsia="黑体" w:cs="黑体"/>
        </w:rPr>
        <w:t>四、激励计划尚需履行的程序、存在的不确定性和风险</w:t>
      </w:r>
    </w:p>
    <w:p>
      <w:pPr>
        <w:pStyle w:val="2"/>
        <w:adjustRightInd w:val="0"/>
        <w:spacing w:after="0" w:line="360" w:lineRule="auto"/>
        <w:ind w:firstLine="480" w:firstLineChars="200"/>
      </w:pPr>
      <w:r>
        <w:rPr>
          <w:rFonts w:hint="eastAsia"/>
        </w:rPr>
        <w:t>本次激励计划事项尚处于筹划阶段，公司将就拟激励对象人数、拟激励对象参与意愿、激励规模等事项与相关各方充分讨论沟通。鉴于此，本次筹划的激励计划事项最终是否能顺利形成激励方案存在不确定性，公司将尽快就激励计划具体方案等事项进行研究，推进相关工作进度，并严格按照有关法律法规的规定履行信息披露义务。</w:t>
      </w:r>
    </w:p>
    <w:p>
      <w:pPr>
        <w:pStyle w:val="2"/>
        <w:adjustRightInd w:val="0"/>
        <w:spacing w:after="0" w:line="360" w:lineRule="auto"/>
        <w:ind w:firstLine="480" w:firstLineChars="200"/>
      </w:pPr>
      <w:r>
        <w:rPr>
          <w:rFonts w:hint="eastAsia"/>
        </w:rPr>
        <w:t>公司本次股权激励计划相关事项尚需公司董事会薪酬与考核委员会审议、董事会审议、湖北省人民政府国有资产监督管理委员会审批、公司股东大会审议，本次激励计划能否付诸实施尚存在不确定性。</w:t>
      </w:r>
    </w:p>
    <w:p>
      <w:pPr>
        <w:pStyle w:val="2"/>
        <w:adjustRightInd w:val="0"/>
        <w:spacing w:after="0" w:line="360" w:lineRule="auto"/>
        <w:ind w:firstLine="480" w:firstLineChars="200"/>
        <w:rPr>
          <w:rFonts w:ascii="黑体" w:hAnsi="黑体" w:eastAsia="黑体" w:cs="黑体"/>
        </w:rPr>
      </w:pPr>
      <w:r>
        <w:rPr>
          <w:rFonts w:hint="eastAsia" w:ascii="黑体" w:hAnsi="黑体" w:eastAsia="黑体" w:cs="黑体"/>
        </w:rPr>
        <w:t>五、预计披露股权激励计划草案的时间</w:t>
      </w:r>
    </w:p>
    <w:p>
      <w:pPr>
        <w:pStyle w:val="2"/>
        <w:adjustRightInd w:val="0"/>
        <w:spacing w:after="0" w:line="360" w:lineRule="auto"/>
        <w:ind w:firstLine="480" w:firstLineChars="200"/>
      </w:pPr>
      <w:r>
        <w:rPr>
          <w:rFonts w:hint="eastAsia"/>
        </w:rPr>
        <w:t>鉴于本次激励计划具体激励对象名单、人数、限制性股票授予价格、业绩考核指标等事项尚待公司与相关各方进行充分讨论沟通，本次筹划的激励计划事项最终是否能顺利形成激励方案存在不确定性，公司将尽快就激励计划具体方案等事项进行研究。如最终确定实施股权激励计划，公司将及时披露本次拟进行的激励计划草案。</w:t>
      </w:r>
    </w:p>
    <w:p>
      <w:pPr>
        <w:pStyle w:val="2"/>
        <w:adjustRightInd w:val="0"/>
        <w:spacing w:after="0" w:line="360" w:lineRule="auto"/>
        <w:ind w:firstLine="480" w:firstLineChars="200"/>
        <w:rPr>
          <w:rFonts w:ascii="黑体" w:hAnsi="黑体" w:eastAsia="黑体" w:cs="黑体"/>
        </w:rPr>
      </w:pPr>
      <w:r>
        <w:rPr>
          <w:rFonts w:hint="eastAsia" w:ascii="黑体" w:hAnsi="黑体" w:eastAsia="黑体" w:cs="黑体"/>
        </w:rPr>
        <w:t>六、风险提示</w:t>
      </w:r>
    </w:p>
    <w:p>
      <w:pPr>
        <w:pStyle w:val="2"/>
        <w:adjustRightInd w:val="0"/>
        <w:spacing w:after="0" w:line="360" w:lineRule="auto"/>
        <w:ind w:firstLine="480" w:firstLineChars="200"/>
      </w:pPr>
      <w:r>
        <w:rPr>
          <w:rFonts w:hint="eastAsia"/>
        </w:rPr>
        <w:t>鉴于本次股权激励事项尚处于筹划阶段，能否付诸实施尚存在不确定性，敬请广大投资者关注公司相关公告并注意投资风险。</w:t>
      </w:r>
    </w:p>
    <w:p>
      <w:pPr>
        <w:pStyle w:val="16"/>
        <w:adjustRightInd w:val="0"/>
        <w:snapToGrid w:val="0"/>
        <w:spacing w:line="360" w:lineRule="auto"/>
        <w:ind w:firstLine="480" w:firstLineChars="200"/>
        <w:rPr>
          <w:rFonts w:asciiTheme="minorEastAsia" w:hAnsiTheme="minorEastAsia"/>
          <w:sz w:val="24"/>
          <w:szCs w:val="24"/>
          <w:lang w:eastAsia="zh-CN"/>
        </w:rPr>
      </w:pPr>
      <w:r>
        <w:rPr>
          <w:rFonts w:hint="eastAsia" w:asciiTheme="minorEastAsia" w:hAnsiTheme="minorEastAsia"/>
          <w:sz w:val="24"/>
          <w:szCs w:val="24"/>
          <w:lang w:eastAsia="zh-CN"/>
        </w:rPr>
        <w:t>特此公告。</w:t>
      </w:r>
    </w:p>
    <w:p>
      <w:pPr>
        <w:pStyle w:val="5"/>
        <w:adjustRightInd w:val="0"/>
        <w:snapToGrid w:val="0"/>
        <w:spacing w:line="360" w:lineRule="auto"/>
        <w:rPr>
          <w:rFonts w:ascii="宋体" w:hAnsi="宋体" w:cs="宋体"/>
          <w:sz w:val="24"/>
          <w:szCs w:val="24"/>
        </w:rPr>
      </w:pPr>
    </w:p>
    <w:p>
      <w:pPr>
        <w:pStyle w:val="5"/>
        <w:adjustRightInd w:val="0"/>
        <w:snapToGrid w:val="0"/>
        <w:spacing w:line="360" w:lineRule="auto"/>
        <w:rPr>
          <w:rFonts w:ascii="宋体" w:hAnsi="宋体" w:cs="宋体"/>
          <w:sz w:val="24"/>
          <w:szCs w:val="24"/>
        </w:rPr>
      </w:pPr>
    </w:p>
    <w:p>
      <w:pPr>
        <w:pStyle w:val="5"/>
        <w:adjustRightInd w:val="0"/>
        <w:snapToGrid w:val="0"/>
        <w:spacing w:line="360" w:lineRule="auto"/>
        <w:rPr>
          <w:rFonts w:ascii="宋体" w:hAnsi="宋体" w:cs="宋体"/>
          <w:sz w:val="24"/>
          <w:szCs w:val="24"/>
        </w:rPr>
      </w:pPr>
    </w:p>
    <w:p>
      <w:pPr>
        <w:pStyle w:val="9"/>
        <w:adjustRightInd w:val="0"/>
        <w:snapToGrid w:val="0"/>
        <w:spacing w:before="0" w:beforeAutospacing="0" w:after="0" w:afterAutospacing="0" w:line="360" w:lineRule="auto"/>
        <w:ind w:firstLine="5280" w:firstLineChars="2200"/>
        <w:jc w:val="both"/>
        <w:rPr>
          <w:rStyle w:val="13"/>
          <w:rFonts w:cs="Times New Roman"/>
        </w:rPr>
      </w:pPr>
      <w:r>
        <w:rPr>
          <w:rStyle w:val="13"/>
          <w:rFonts w:hint="eastAsia" w:cs="Times New Roman"/>
        </w:rPr>
        <w:t>中百控股集团股份有限公司</w:t>
      </w:r>
    </w:p>
    <w:p>
      <w:pPr>
        <w:pStyle w:val="9"/>
        <w:adjustRightInd w:val="0"/>
        <w:snapToGrid w:val="0"/>
        <w:spacing w:before="0" w:beforeAutospacing="0" w:after="0" w:afterAutospacing="0" w:line="360" w:lineRule="auto"/>
        <w:ind w:firstLine="480" w:firstLineChars="200"/>
        <w:jc w:val="both"/>
        <w:rPr>
          <w:rStyle w:val="13"/>
          <w:rFonts w:cs="Times New Roman"/>
        </w:rPr>
      </w:pPr>
      <w:r>
        <w:rPr>
          <w:rStyle w:val="13"/>
          <w:rFonts w:hint="eastAsia" w:cs="Times New Roman"/>
        </w:rPr>
        <w:t xml:space="preserve">                                               董  事  会</w:t>
      </w:r>
    </w:p>
    <w:p>
      <w:pPr>
        <w:pStyle w:val="9"/>
        <w:adjustRightInd w:val="0"/>
        <w:snapToGrid w:val="0"/>
        <w:spacing w:before="0" w:beforeAutospacing="0" w:after="0" w:afterAutospacing="0" w:line="360" w:lineRule="auto"/>
        <w:ind w:firstLine="480" w:firstLineChars="200"/>
        <w:jc w:val="both"/>
        <w:rPr>
          <w:rStyle w:val="13"/>
          <w:rFonts w:cs="Times New Roman"/>
        </w:rPr>
      </w:pPr>
      <w:r>
        <w:rPr>
          <w:rStyle w:val="13"/>
          <w:rFonts w:hint="eastAsia" w:cs="Times New Roman"/>
        </w:rPr>
        <w:t xml:space="preserve">                                            2022年5月1</w:t>
      </w:r>
      <w:r>
        <w:rPr>
          <w:rStyle w:val="13"/>
          <w:rFonts w:hint="eastAsia" w:cs="Times New Roman"/>
          <w:lang w:val="en-US" w:eastAsia="zh-CN"/>
        </w:rPr>
        <w:t>3</w:t>
      </w:r>
      <w:bookmarkStart w:id="0" w:name="_GoBack"/>
      <w:bookmarkEnd w:id="0"/>
      <w:r>
        <w:rPr>
          <w:rStyle w:val="13"/>
          <w:rFonts w:hint="eastAsia" w:cs="Times New Roman"/>
        </w:rPr>
        <w:t>日</w:t>
      </w:r>
    </w:p>
    <w:p>
      <w:pPr>
        <w:pStyle w:val="5"/>
        <w:adjustRightInd w:val="0"/>
        <w:snapToGrid w:val="0"/>
        <w:spacing w:line="360" w:lineRule="auto"/>
        <w:rPr>
          <w:sz w:val="24"/>
          <w:szCs w:val="24"/>
        </w:rPr>
      </w:pPr>
    </w:p>
    <w:p>
      <w:pPr>
        <w:pStyle w:val="5"/>
        <w:adjustRightInd w:val="0"/>
        <w:snapToGrid w:val="0"/>
        <w:spacing w:line="360" w:lineRule="auto"/>
        <w:rPr>
          <w:sz w:val="24"/>
          <w:szCs w:val="24"/>
        </w:rPr>
      </w:pPr>
    </w:p>
    <w:p>
      <w:pPr>
        <w:pStyle w:val="5"/>
        <w:adjustRightInd w:val="0"/>
        <w:snapToGrid w:val="0"/>
        <w:spacing w:line="360" w:lineRule="auto"/>
        <w:rPr>
          <w:sz w:val="24"/>
          <w:szCs w:val="24"/>
        </w:rPr>
      </w:pPr>
    </w:p>
    <w:p>
      <w:pPr>
        <w:pStyle w:val="5"/>
        <w:adjustRightInd w:val="0"/>
        <w:snapToGrid w:val="0"/>
        <w:spacing w:line="360" w:lineRule="auto"/>
        <w:rPr>
          <w:sz w:val="24"/>
          <w:szCs w:val="24"/>
        </w:rPr>
      </w:pPr>
    </w:p>
    <w:p>
      <w:pPr>
        <w:pStyle w:val="2"/>
        <w:adjustRightInd w:val="0"/>
        <w:spacing w:after="0" w:line="360" w:lineRule="auto"/>
        <w:ind w:firstLine="0" w:firstLineChars="0"/>
        <w:rPr>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宋体"/>
    <w:panose1 w:val="00000000000000000000"/>
    <w:charset w:val="86"/>
    <w:family w:val="auto"/>
    <w:pitch w:val="default"/>
    <w:sig w:usb0="00000000" w:usb1="0000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Lucida Console">
    <w:panose1 w:val="020B0609040504020204"/>
    <w:charset w:val="00"/>
    <w:family w:val="modern"/>
    <w:pitch w:val="default"/>
    <w:sig w:usb0="8000028F" w:usb1="00001800" w:usb2="00000000" w:usb3="00000000" w:csb0="0000001F" w:csb1="D7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U2YmQ2ZDI5NTY5ODZhYmZiNTg1MWIwOWQ4ZmRhOTkifQ=="/>
  </w:docVars>
  <w:rsids>
    <w:rsidRoot w:val="0063311E"/>
    <w:rsid w:val="0002478B"/>
    <w:rsid w:val="001F34D2"/>
    <w:rsid w:val="00335432"/>
    <w:rsid w:val="00377A54"/>
    <w:rsid w:val="004A6C74"/>
    <w:rsid w:val="004C4A90"/>
    <w:rsid w:val="004C64E6"/>
    <w:rsid w:val="004F345A"/>
    <w:rsid w:val="00585837"/>
    <w:rsid w:val="0063311E"/>
    <w:rsid w:val="007167CD"/>
    <w:rsid w:val="00743287"/>
    <w:rsid w:val="009F3A3B"/>
    <w:rsid w:val="00A727F9"/>
    <w:rsid w:val="00B72F6C"/>
    <w:rsid w:val="00C068A4"/>
    <w:rsid w:val="0B962B49"/>
    <w:rsid w:val="24D1160D"/>
    <w:rsid w:val="2B9413B4"/>
    <w:rsid w:val="2DF6381D"/>
    <w:rsid w:val="3CCC4CD0"/>
    <w:rsid w:val="43B51495"/>
    <w:rsid w:val="4CB84A8A"/>
    <w:rsid w:val="5DAF4A3E"/>
    <w:rsid w:val="62122F3D"/>
    <w:rsid w:val="695F5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首行缩进）"/>
    <w:basedOn w:val="3"/>
    <w:next w:val="5"/>
    <w:qFormat/>
    <w:uiPriority w:val="0"/>
    <w:pPr>
      <w:snapToGrid w:val="0"/>
      <w:spacing w:line="288" w:lineRule="auto"/>
      <w:ind w:firstLine="880"/>
    </w:pPr>
    <w:rPr>
      <w:rFonts w:eastAsia="方正书宋简体"/>
      <w:sz w:val="24"/>
      <w:szCs w:val="21"/>
    </w:rPr>
  </w:style>
  <w:style w:type="paragraph" w:styleId="3">
    <w:name w:val="Body Text First Indent"/>
    <w:basedOn w:val="4"/>
    <w:unhideWhenUsed/>
    <w:qFormat/>
    <w:uiPriority w:val="0"/>
    <w:pPr>
      <w:ind w:firstLine="420" w:firstLineChars="100"/>
    </w:pPr>
    <w:rPr>
      <w:rFonts w:ascii="Calibri" w:hAnsi="Calibri"/>
      <w:szCs w:val="22"/>
    </w:rPr>
  </w:style>
  <w:style w:type="paragraph" w:styleId="4">
    <w:name w:val="Body Text"/>
    <w:basedOn w:val="1"/>
    <w:qFormat/>
    <w:uiPriority w:val="0"/>
    <w:pPr>
      <w:spacing w:after="120"/>
    </w:pPr>
  </w:style>
  <w:style w:type="paragraph" w:styleId="5">
    <w:name w:val="Balloon Text"/>
    <w:basedOn w:val="1"/>
    <w:semiHidden/>
    <w:qFormat/>
    <w:uiPriority w:val="0"/>
    <w:rPr>
      <w:sz w:val="18"/>
      <w:szCs w:val="18"/>
    </w:rPr>
  </w:style>
  <w:style w:type="paragraph" w:styleId="6">
    <w:name w:val="annotation text"/>
    <w:basedOn w:val="1"/>
    <w:link w:val="19"/>
    <w:unhideWhenUsed/>
    <w:uiPriority w:val="0"/>
    <w:pPr>
      <w:jc w:val="left"/>
    </w:pPr>
  </w:style>
  <w:style w:type="paragraph" w:styleId="7">
    <w:name w:val="footer"/>
    <w:basedOn w:val="1"/>
    <w:link w:val="18"/>
    <w:uiPriority w:val="0"/>
    <w:pPr>
      <w:tabs>
        <w:tab w:val="center" w:pos="4153"/>
        <w:tab w:val="right" w:pos="8306"/>
      </w:tabs>
      <w:snapToGrid w:val="0"/>
      <w:jc w:val="left"/>
    </w:pPr>
    <w:rPr>
      <w:sz w:val="18"/>
      <w:szCs w:val="18"/>
    </w:rPr>
  </w:style>
  <w:style w:type="paragraph" w:styleId="8">
    <w:name w:val="header"/>
    <w:basedOn w:val="1"/>
    <w:link w:val="17"/>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styleId="12">
    <w:name w:val="annotation reference"/>
    <w:basedOn w:val="11"/>
    <w:unhideWhenUsed/>
    <w:uiPriority w:val="0"/>
    <w:rPr>
      <w:sz w:val="21"/>
      <w:szCs w:val="21"/>
    </w:rPr>
  </w:style>
  <w:style w:type="character" w:customStyle="1" w:styleId="13">
    <w:name w:val="da"/>
    <w:basedOn w:val="11"/>
    <w:qFormat/>
    <w:uiPriority w:val="0"/>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15">
    <w:name w:val="da1"/>
    <w:qFormat/>
    <w:uiPriority w:val="0"/>
    <w:rPr>
      <w:rFonts w:hint="default" w:ascii="ˎ̥" w:hAnsi="ˎ̥"/>
      <w:color w:val="000000"/>
      <w:sz w:val="21"/>
      <w:szCs w:val="21"/>
      <w:u w:val="none"/>
    </w:rPr>
  </w:style>
  <w:style w:type="paragraph" w:styleId="16">
    <w:name w:val="No Spacing"/>
    <w:qFormat/>
    <w:uiPriority w:val="1"/>
    <w:pPr>
      <w:widowControl w:val="0"/>
    </w:pPr>
    <w:rPr>
      <w:rFonts w:asciiTheme="minorHAnsi" w:hAnsiTheme="minorHAnsi" w:eastAsiaTheme="minorEastAsia" w:cstheme="minorBidi"/>
      <w:sz w:val="22"/>
      <w:szCs w:val="22"/>
      <w:lang w:val="en-US" w:eastAsia="en-US" w:bidi="ar-SA"/>
    </w:rPr>
  </w:style>
  <w:style w:type="character" w:customStyle="1" w:styleId="17">
    <w:name w:val="页眉 Char"/>
    <w:basedOn w:val="11"/>
    <w:link w:val="8"/>
    <w:uiPriority w:val="0"/>
    <w:rPr>
      <w:rFonts w:ascii="Times New Roman" w:hAnsi="Times New Roman" w:eastAsia="宋体" w:cs="Times New Roman"/>
      <w:kern w:val="2"/>
      <w:sz w:val="18"/>
      <w:szCs w:val="18"/>
    </w:rPr>
  </w:style>
  <w:style w:type="character" w:customStyle="1" w:styleId="18">
    <w:name w:val="页脚 Char"/>
    <w:basedOn w:val="11"/>
    <w:link w:val="7"/>
    <w:uiPriority w:val="0"/>
    <w:rPr>
      <w:rFonts w:ascii="Times New Roman" w:hAnsi="Times New Roman" w:eastAsia="宋体" w:cs="Times New Roman"/>
      <w:kern w:val="2"/>
      <w:sz w:val="18"/>
      <w:szCs w:val="18"/>
    </w:rPr>
  </w:style>
  <w:style w:type="character" w:customStyle="1" w:styleId="19">
    <w:name w:val="批注文字 Char"/>
    <w:basedOn w:val="11"/>
    <w:link w:val="6"/>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1239</Words>
  <Characters>1282</Characters>
  <Lines>10</Lines>
  <Paragraphs>2</Paragraphs>
  <TotalTime>21</TotalTime>
  <ScaleCrop>false</ScaleCrop>
  <LinksUpToDate>false</LinksUpToDate>
  <CharactersWithSpaces>1393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2022-05-07T03:21:00Z</dcterms:created>
  <dc:creator>zbkgjt</dc:creator>
  <cp:lastModifiedBy>王茂</cp:lastModifiedBy>
  <dcterms:modified xsi:type="dcterms:W3CDTF">2022-05-11T09:18:27Z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35779DA061CA4560A735AFA8FC5D4215</vt:lpwstr>
  </property>
</Properties>
</file>