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96" w:rsidRDefault="00912F64">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证券代码：000759         证券简称：中百集团        公告编号：20</w:t>
      </w:r>
      <w:r>
        <w:rPr>
          <w:rFonts w:asciiTheme="minorEastAsia" w:eastAsiaTheme="minorEastAsia" w:hAnsiTheme="minorEastAsia" w:hint="eastAsia"/>
          <w:kern w:val="0"/>
          <w:sz w:val="24"/>
        </w:rPr>
        <w:t>22</w:t>
      </w:r>
      <w:r>
        <w:rPr>
          <w:rFonts w:asciiTheme="minorEastAsia" w:eastAsiaTheme="minorEastAsia" w:hAnsiTheme="minorEastAsia"/>
          <w:kern w:val="0"/>
          <w:sz w:val="24"/>
        </w:rPr>
        <w:t>-0</w:t>
      </w:r>
      <w:r>
        <w:rPr>
          <w:rFonts w:asciiTheme="minorEastAsia" w:eastAsiaTheme="minorEastAsia" w:hAnsiTheme="minorEastAsia" w:hint="eastAsia"/>
          <w:kern w:val="0"/>
          <w:sz w:val="24"/>
        </w:rPr>
        <w:t>09</w:t>
      </w:r>
    </w:p>
    <w:p w:rsidR="004B6E96" w:rsidRDefault="004B6E96">
      <w:pPr>
        <w:adjustRightInd w:val="0"/>
        <w:snapToGrid w:val="0"/>
        <w:jc w:val="center"/>
        <w:rPr>
          <w:kern w:val="0"/>
          <w:sz w:val="24"/>
        </w:rPr>
      </w:pPr>
    </w:p>
    <w:p w:rsidR="004B6E96" w:rsidRDefault="00912F64">
      <w:pPr>
        <w:pStyle w:val="Default"/>
        <w:snapToGrid w:val="0"/>
        <w:jc w:val="center"/>
        <w:rPr>
          <w:rFonts w:ascii="Times New Roman" w:hAnsi="Times New Roman" w:cs="Times New Roman"/>
          <w:sz w:val="36"/>
          <w:szCs w:val="36"/>
        </w:rPr>
      </w:pPr>
      <w:r>
        <w:rPr>
          <w:rFonts w:ascii="Times New Roman" w:hAnsi="Times New Roman" w:cs="Times New Roman"/>
          <w:sz w:val="36"/>
          <w:szCs w:val="36"/>
        </w:rPr>
        <w:t>中百控股集团股份有限公司</w:t>
      </w:r>
    </w:p>
    <w:p w:rsidR="004B6E96" w:rsidRDefault="00912F64">
      <w:pPr>
        <w:pStyle w:val="Default"/>
        <w:snapToGrid w:val="0"/>
        <w:jc w:val="center"/>
        <w:rPr>
          <w:rFonts w:ascii="Times New Roman" w:hAnsi="Times New Roman" w:cs="Times New Roman"/>
          <w:sz w:val="36"/>
          <w:szCs w:val="36"/>
        </w:rPr>
      </w:pPr>
      <w:r>
        <w:rPr>
          <w:rFonts w:ascii="Times New Roman" w:hAnsi="Times New Roman" w:cs="Times New Roman"/>
          <w:sz w:val="36"/>
          <w:szCs w:val="36"/>
        </w:rPr>
        <w:t>关于预计</w:t>
      </w:r>
      <w:r>
        <w:rPr>
          <w:rFonts w:ascii="Times New Roman" w:hAnsi="Times New Roman" w:cs="Times New Roman"/>
          <w:sz w:val="36"/>
          <w:szCs w:val="36"/>
        </w:rPr>
        <w:t>20</w:t>
      </w:r>
      <w:r>
        <w:rPr>
          <w:rFonts w:ascii="Times New Roman" w:hAnsi="Times New Roman" w:cs="Times New Roman" w:hint="eastAsia"/>
          <w:sz w:val="36"/>
          <w:szCs w:val="36"/>
        </w:rPr>
        <w:t>22</w:t>
      </w:r>
      <w:r>
        <w:rPr>
          <w:rFonts w:ascii="Times New Roman" w:hAnsi="Times New Roman" w:cs="Times New Roman"/>
          <w:sz w:val="36"/>
          <w:szCs w:val="36"/>
        </w:rPr>
        <w:t>年日常关联交易的公告</w:t>
      </w:r>
    </w:p>
    <w:p w:rsidR="004B6E96" w:rsidRDefault="004B6E96">
      <w:pPr>
        <w:pStyle w:val="Default"/>
        <w:snapToGrid w:val="0"/>
        <w:jc w:val="center"/>
        <w:rPr>
          <w:rFonts w:ascii="Times New Roman" w:hAnsi="Times New Roman" w:cs="Times New Roman"/>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4B6E96">
        <w:tc>
          <w:tcPr>
            <w:tcW w:w="8522" w:type="dxa"/>
          </w:tcPr>
          <w:p w:rsidR="004B6E96" w:rsidRDefault="00912F64">
            <w:pPr>
              <w:pStyle w:val="Default"/>
              <w:spacing w:line="400" w:lineRule="exact"/>
              <w:ind w:firstLineChars="200" w:firstLine="480"/>
              <w:jc w:val="both"/>
              <w:rPr>
                <w:rFonts w:ascii="楷体" w:eastAsia="楷体" w:hAnsi="楷体"/>
              </w:rPr>
            </w:pPr>
            <w:r>
              <w:rPr>
                <w:rFonts w:ascii="楷体" w:eastAsia="楷体" w:hAnsi="楷体" w:hint="eastAsia"/>
              </w:rPr>
              <w:t>本公司及董事会全体成员保证信息披露的内容真实、准确、完整，没有虚假记载、误导性陈述或者重大遗漏。</w:t>
            </w:r>
          </w:p>
        </w:tc>
      </w:tr>
    </w:tbl>
    <w:p w:rsidR="004B6E96" w:rsidRDefault="004B6E96">
      <w:pPr>
        <w:spacing w:line="360" w:lineRule="auto"/>
      </w:pPr>
    </w:p>
    <w:p w:rsidR="004B6E96" w:rsidRDefault="00912F64">
      <w:pPr>
        <w:autoSpaceDE w:val="0"/>
        <w:autoSpaceDN w:val="0"/>
        <w:adjustRightInd w:val="0"/>
        <w:snapToGrid w:val="0"/>
        <w:spacing w:line="360" w:lineRule="auto"/>
        <w:ind w:firstLine="422"/>
        <w:jc w:val="left"/>
        <w:rPr>
          <w:rFonts w:ascii="黑体" w:eastAsia="黑体" w:hAnsi="黑体"/>
          <w:bCs/>
          <w:sz w:val="24"/>
        </w:rPr>
      </w:pPr>
      <w:r>
        <w:rPr>
          <w:rFonts w:ascii="黑体" w:eastAsia="黑体" w:hAnsi="黑体" w:hint="eastAsia"/>
          <w:bCs/>
          <w:sz w:val="24"/>
        </w:rPr>
        <w:t>一、日常关联交易的基本情况</w:t>
      </w:r>
    </w:p>
    <w:p w:rsidR="004B6E96" w:rsidRDefault="00912F64">
      <w:pPr>
        <w:tabs>
          <w:tab w:val="left" w:pos="1200"/>
        </w:tabs>
        <w:adjustRightInd w:val="0"/>
        <w:snapToGrid w:val="0"/>
        <w:spacing w:line="360" w:lineRule="auto"/>
        <w:ind w:firstLineChars="147" w:firstLine="354"/>
        <w:rPr>
          <w:rFonts w:ascii="楷体" w:eastAsia="楷体" w:hAnsi="楷体"/>
          <w:b/>
          <w:sz w:val="24"/>
        </w:rPr>
      </w:pPr>
      <w:r>
        <w:rPr>
          <w:rFonts w:ascii="楷体" w:eastAsia="楷体" w:hAnsi="楷体" w:hint="eastAsia"/>
          <w:b/>
          <w:sz w:val="24"/>
        </w:rPr>
        <w:t>（一）日常关联交易概述</w:t>
      </w:r>
    </w:p>
    <w:p w:rsidR="004B6E96" w:rsidRDefault="00912F64" w:rsidP="0015202D">
      <w:pPr>
        <w:autoSpaceDE w:val="0"/>
        <w:autoSpaceDN w:val="0"/>
        <w:adjustRightInd w:val="0"/>
        <w:snapToGrid w:val="0"/>
        <w:spacing w:line="360" w:lineRule="auto"/>
        <w:ind w:firstLineChars="199" w:firstLine="478"/>
        <w:jc w:val="left"/>
        <w:rPr>
          <w:rFonts w:ascii="宋体" w:hAnsi="宋体" w:cs="宋体"/>
          <w:bCs/>
          <w:sz w:val="24"/>
        </w:rPr>
      </w:pPr>
      <w:r>
        <w:rPr>
          <w:rFonts w:asciiTheme="minorEastAsia" w:hAnsiTheme="minorEastAsia"/>
          <w:sz w:val="24"/>
          <w:szCs w:val="24"/>
        </w:rPr>
        <w:t>20</w:t>
      </w:r>
      <w:r>
        <w:rPr>
          <w:rFonts w:asciiTheme="minorEastAsia" w:hAnsiTheme="minorEastAsia" w:hint="eastAsia"/>
          <w:sz w:val="24"/>
          <w:szCs w:val="24"/>
        </w:rPr>
        <w:t>22</w:t>
      </w:r>
      <w:r>
        <w:rPr>
          <w:rFonts w:asciiTheme="minorEastAsia" w:hAnsiTheme="minorEastAsia"/>
          <w:sz w:val="24"/>
          <w:szCs w:val="24"/>
        </w:rPr>
        <w:t>年</w:t>
      </w:r>
      <w:r>
        <w:rPr>
          <w:rFonts w:asciiTheme="minorEastAsia" w:hAnsiTheme="minorEastAsia" w:hint="eastAsia"/>
          <w:sz w:val="24"/>
          <w:szCs w:val="24"/>
        </w:rPr>
        <w:t>3</w:t>
      </w:r>
      <w:r>
        <w:rPr>
          <w:rFonts w:asciiTheme="minorEastAsia" w:hAnsiTheme="minorEastAsia"/>
          <w:sz w:val="24"/>
          <w:szCs w:val="24"/>
        </w:rPr>
        <w:t>月</w:t>
      </w:r>
      <w:r>
        <w:rPr>
          <w:rFonts w:asciiTheme="minorEastAsia" w:hAnsiTheme="minorEastAsia" w:hint="eastAsia"/>
          <w:sz w:val="24"/>
          <w:szCs w:val="24"/>
        </w:rPr>
        <w:t>24</w:t>
      </w:r>
      <w:r>
        <w:rPr>
          <w:rFonts w:asciiTheme="minorEastAsia" w:hAnsiTheme="minorEastAsia"/>
          <w:sz w:val="24"/>
          <w:szCs w:val="24"/>
        </w:rPr>
        <w:t>日</w:t>
      </w:r>
      <w:r>
        <w:rPr>
          <w:rFonts w:asciiTheme="minorEastAsia" w:hAnsiTheme="minorEastAsia" w:hint="eastAsia"/>
          <w:sz w:val="24"/>
          <w:szCs w:val="24"/>
        </w:rPr>
        <w:t>，</w:t>
      </w:r>
      <w:r>
        <w:rPr>
          <w:rFonts w:asciiTheme="minorEastAsia" w:hAnsiTheme="minorEastAsia"/>
          <w:sz w:val="24"/>
          <w:szCs w:val="24"/>
        </w:rPr>
        <w:t>中百控股集团股份有限公司（以下简称“公司”）召开第</w:t>
      </w:r>
      <w:r>
        <w:rPr>
          <w:rFonts w:asciiTheme="minorEastAsia" w:hAnsiTheme="minorEastAsia" w:hint="eastAsia"/>
          <w:sz w:val="24"/>
          <w:szCs w:val="24"/>
        </w:rPr>
        <w:t>十</w:t>
      </w:r>
      <w:r>
        <w:rPr>
          <w:rFonts w:asciiTheme="minorEastAsia" w:hAnsiTheme="minorEastAsia"/>
          <w:sz w:val="24"/>
          <w:szCs w:val="24"/>
        </w:rPr>
        <w:t>届董事会第</w:t>
      </w:r>
      <w:r>
        <w:rPr>
          <w:rFonts w:asciiTheme="minorEastAsia" w:hAnsiTheme="minorEastAsia" w:hint="eastAsia"/>
          <w:sz w:val="24"/>
          <w:szCs w:val="24"/>
        </w:rPr>
        <w:t>九</w:t>
      </w:r>
      <w:r>
        <w:rPr>
          <w:rFonts w:asciiTheme="minorEastAsia" w:hAnsiTheme="minorEastAsia"/>
          <w:sz w:val="24"/>
          <w:szCs w:val="24"/>
        </w:rPr>
        <w:t>次会议，会议以</w:t>
      </w:r>
      <w:r>
        <w:rPr>
          <w:rFonts w:asciiTheme="minorEastAsia" w:hAnsiTheme="minorEastAsia" w:hint="eastAsia"/>
          <w:sz w:val="24"/>
          <w:szCs w:val="24"/>
        </w:rPr>
        <w:t>9</w:t>
      </w:r>
      <w:r>
        <w:rPr>
          <w:rFonts w:asciiTheme="minorEastAsia" w:hAnsiTheme="minorEastAsia"/>
          <w:sz w:val="24"/>
          <w:szCs w:val="24"/>
        </w:rPr>
        <w:t>票</w:t>
      </w:r>
      <w:r>
        <w:rPr>
          <w:rFonts w:asciiTheme="minorEastAsia" w:hAnsiTheme="minorEastAsia" w:hint="eastAsia"/>
          <w:sz w:val="24"/>
          <w:szCs w:val="24"/>
        </w:rPr>
        <w:t>同意</w:t>
      </w:r>
      <w:r>
        <w:rPr>
          <w:rFonts w:asciiTheme="minorEastAsia" w:hAnsiTheme="minorEastAsia"/>
          <w:sz w:val="24"/>
          <w:szCs w:val="24"/>
        </w:rPr>
        <w:t>，0票反对，0票弃权审议并通过了《</w:t>
      </w:r>
      <w:r>
        <w:rPr>
          <w:rFonts w:asciiTheme="minorEastAsia" w:hAnsiTheme="minorEastAsia" w:hint="eastAsia"/>
          <w:sz w:val="24"/>
          <w:szCs w:val="24"/>
        </w:rPr>
        <w:t>关于</w:t>
      </w:r>
      <w:r>
        <w:rPr>
          <w:rFonts w:asciiTheme="minorEastAsia" w:hAnsiTheme="minorEastAsia"/>
          <w:sz w:val="24"/>
          <w:szCs w:val="24"/>
        </w:rPr>
        <w:t>预计</w:t>
      </w:r>
      <w:r>
        <w:rPr>
          <w:rFonts w:asciiTheme="minorEastAsia" w:hAnsiTheme="minorEastAsia" w:hint="eastAsia"/>
          <w:sz w:val="24"/>
          <w:szCs w:val="24"/>
        </w:rPr>
        <w:t>2022年日常关联交易的议案</w:t>
      </w:r>
      <w:r>
        <w:rPr>
          <w:rFonts w:asciiTheme="minorEastAsia" w:hAnsiTheme="minorEastAsia"/>
          <w:sz w:val="24"/>
          <w:szCs w:val="24"/>
        </w:rPr>
        <w:t>》</w:t>
      </w:r>
      <w:r>
        <w:rPr>
          <w:rFonts w:asciiTheme="minorEastAsia" w:hAnsiTheme="minorEastAsia" w:hint="eastAsia"/>
          <w:sz w:val="24"/>
          <w:szCs w:val="24"/>
        </w:rPr>
        <w:t>，</w:t>
      </w:r>
      <w:r>
        <w:rPr>
          <w:rFonts w:asciiTheme="minorEastAsia" w:hAnsiTheme="minorEastAsia"/>
          <w:sz w:val="24"/>
          <w:szCs w:val="24"/>
        </w:rPr>
        <w:t>关联董事</w:t>
      </w:r>
      <w:r>
        <w:rPr>
          <w:rFonts w:asciiTheme="minorEastAsia" w:hAnsiTheme="minorEastAsia" w:hint="eastAsia"/>
          <w:sz w:val="24"/>
          <w:szCs w:val="24"/>
        </w:rPr>
        <w:t>孙昊女士</w:t>
      </w:r>
      <w:r>
        <w:rPr>
          <w:rFonts w:asciiTheme="minorEastAsia" w:hAnsiTheme="minorEastAsia"/>
          <w:sz w:val="24"/>
          <w:szCs w:val="24"/>
        </w:rPr>
        <w:t>回避</w:t>
      </w:r>
      <w:r>
        <w:rPr>
          <w:rFonts w:asciiTheme="minorEastAsia" w:hAnsiTheme="minorEastAsia" w:hint="eastAsia"/>
          <w:sz w:val="24"/>
          <w:szCs w:val="24"/>
        </w:rPr>
        <w:t>表决</w:t>
      </w:r>
      <w:r>
        <w:rPr>
          <w:rFonts w:asciiTheme="minorEastAsia" w:hAnsiTheme="minorEastAsia"/>
          <w:sz w:val="24"/>
          <w:szCs w:val="24"/>
        </w:rPr>
        <w:t>。该议案尚需提交公司</w:t>
      </w:r>
      <w:r>
        <w:rPr>
          <w:rFonts w:asciiTheme="minorEastAsia" w:hAnsiTheme="minorEastAsia" w:hint="eastAsia"/>
          <w:sz w:val="24"/>
          <w:szCs w:val="24"/>
        </w:rPr>
        <w:t>2021年年度</w:t>
      </w:r>
      <w:r>
        <w:rPr>
          <w:rFonts w:asciiTheme="minorEastAsia" w:hAnsiTheme="minorEastAsia"/>
          <w:sz w:val="24"/>
          <w:szCs w:val="24"/>
        </w:rPr>
        <w:t>股东大会审议</w:t>
      </w:r>
      <w:r>
        <w:rPr>
          <w:rFonts w:asciiTheme="minorEastAsia" w:hAnsiTheme="minorEastAsia" w:hint="eastAsia"/>
          <w:sz w:val="24"/>
          <w:szCs w:val="24"/>
        </w:rPr>
        <w:t>批准</w:t>
      </w:r>
      <w:r>
        <w:rPr>
          <w:rFonts w:asciiTheme="minorEastAsia" w:hAnsiTheme="minorEastAsia"/>
          <w:sz w:val="24"/>
          <w:szCs w:val="24"/>
        </w:rPr>
        <w:t>。</w:t>
      </w:r>
    </w:p>
    <w:p w:rsidR="004B6E96" w:rsidRDefault="00912F64" w:rsidP="0015202D">
      <w:pPr>
        <w:autoSpaceDE w:val="0"/>
        <w:autoSpaceDN w:val="0"/>
        <w:adjustRightInd w:val="0"/>
        <w:snapToGrid w:val="0"/>
        <w:spacing w:line="360" w:lineRule="auto"/>
        <w:ind w:firstLineChars="199" w:firstLine="478"/>
        <w:jc w:val="left"/>
        <w:rPr>
          <w:rFonts w:ascii="宋体" w:hAnsi="宋体" w:cs="宋体"/>
          <w:bCs/>
          <w:sz w:val="24"/>
        </w:rPr>
      </w:pPr>
      <w:r>
        <w:rPr>
          <w:rFonts w:ascii="宋体" w:hAnsi="宋体" w:cs="宋体" w:hint="eastAsia"/>
          <w:bCs/>
          <w:sz w:val="24"/>
        </w:rPr>
        <w:t>2022年，公司拟继续与永辉超市股份有限公司（以下简称“永辉超市”）开展商品采购、联合经营等合作，预计日常关联交易总额不超过1.21亿元人民币。2021年度实际发生的日常关联交易总额为1.21亿元人民币。</w:t>
      </w:r>
    </w:p>
    <w:p w:rsidR="004B6E96" w:rsidRDefault="00912F64">
      <w:pPr>
        <w:tabs>
          <w:tab w:val="left" w:pos="1200"/>
        </w:tabs>
        <w:adjustRightInd w:val="0"/>
        <w:snapToGrid w:val="0"/>
        <w:spacing w:line="420" w:lineRule="exact"/>
        <w:rPr>
          <w:rFonts w:ascii="Times New Roman" w:eastAsiaTheme="majorEastAsia" w:hAnsi="Times New Roman"/>
          <w:bCs/>
          <w:sz w:val="24"/>
        </w:rPr>
      </w:pPr>
      <w:r>
        <w:rPr>
          <w:rFonts w:ascii="Times New Roman" w:eastAsiaTheme="majorEastAsia" w:hAnsi="Times New Roman"/>
          <w:bCs/>
          <w:sz w:val="24"/>
        </w:rPr>
        <w:t xml:space="preserve">   </w:t>
      </w:r>
      <w:r>
        <w:rPr>
          <w:rFonts w:ascii="楷体" w:eastAsia="楷体" w:hAnsi="楷体"/>
          <w:b/>
          <w:bCs/>
          <w:sz w:val="24"/>
        </w:rPr>
        <w:t xml:space="preserve"> </w:t>
      </w:r>
      <w:r>
        <w:rPr>
          <w:rFonts w:ascii="楷体" w:eastAsia="楷体" w:hAnsi="楷体" w:hint="eastAsia"/>
          <w:b/>
          <w:bCs/>
          <w:sz w:val="24"/>
        </w:rPr>
        <w:t xml:space="preserve">（二）预计日常关联交易类别和金额  </w:t>
      </w:r>
      <w:r>
        <w:rPr>
          <w:rFonts w:ascii="楷体" w:eastAsia="楷体" w:hAnsi="楷体"/>
          <w:b/>
          <w:bCs/>
          <w:sz w:val="24"/>
        </w:rPr>
        <w:t xml:space="preserve">  </w:t>
      </w:r>
      <w:r>
        <w:rPr>
          <w:rFonts w:ascii="Times New Roman" w:eastAsiaTheme="majorEastAsia" w:hAnsi="Times New Roman"/>
          <w:bCs/>
          <w:sz w:val="24"/>
        </w:rPr>
        <w:t xml:space="preserve">                     </w:t>
      </w:r>
      <w:r>
        <w:rPr>
          <w:rFonts w:ascii="Times New Roman" w:eastAsiaTheme="majorEastAsia" w:hAnsi="Times New Roman"/>
          <w:bCs/>
          <w:szCs w:val="21"/>
        </w:rPr>
        <w:t>单位：万元</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2268"/>
        <w:gridCol w:w="992"/>
        <w:gridCol w:w="1134"/>
        <w:gridCol w:w="851"/>
        <w:gridCol w:w="1276"/>
        <w:gridCol w:w="850"/>
      </w:tblGrid>
      <w:tr w:rsidR="004B6E96">
        <w:tc>
          <w:tcPr>
            <w:tcW w:w="1276"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关联交易</w:t>
            </w:r>
          </w:p>
          <w:p w:rsidR="004B6E96" w:rsidRDefault="00912F64">
            <w:pPr>
              <w:adjustRightInd w:val="0"/>
              <w:snapToGrid w:val="0"/>
              <w:jc w:val="center"/>
              <w:rPr>
                <w:rFonts w:ascii="Times New Roman" w:hAnsi="Times New Roman"/>
                <w:bCs/>
                <w:szCs w:val="21"/>
              </w:rPr>
            </w:pPr>
            <w:r>
              <w:rPr>
                <w:rFonts w:ascii="Times New Roman" w:hAnsi="Times New Roman"/>
                <w:bCs/>
                <w:szCs w:val="21"/>
              </w:rPr>
              <w:t>类别</w:t>
            </w:r>
          </w:p>
        </w:tc>
        <w:tc>
          <w:tcPr>
            <w:tcW w:w="2268"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关联人</w:t>
            </w:r>
          </w:p>
        </w:tc>
        <w:tc>
          <w:tcPr>
            <w:tcW w:w="992"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关联交易内容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关联交易定价原则</w:t>
            </w:r>
          </w:p>
        </w:tc>
        <w:tc>
          <w:tcPr>
            <w:tcW w:w="851"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预计金额</w:t>
            </w:r>
          </w:p>
        </w:tc>
        <w:tc>
          <w:tcPr>
            <w:tcW w:w="1276"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截止披露日已发生金额</w:t>
            </w:r>
          </w:p>
        </w:tc>
        <w:tc>
          <w:tcPr>
            <w:tcW w:w="850"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上年发生金额</w:t>
            </w:r>
          </w:p>
        </w:tc>
      </w:tr>
      <w:tr w:rsidR="004B6E96">
        <w:trPr>
          <w:trHeight w:val="788"/>
        </w:trPr>
        <w:tc>
          <w:tcPr>
            <w:tcW w:w="1276"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向关联人采购商品</w:t>
            </w:r>
          </w:p>
        </w:tc>
        <w:tc>
          <w:tcPr>
            <w:tcW w:w="2268"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永辉超市股份有限公司及其下属控股公司</w:t>
            </w:r>
          </w:p>
        </w:tc>
        <w:tc>
          <w:tcPr>
            <w:tcW w:w="992"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采购</w:t>
            </w:r>
          </w:p>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商品</w:t>
            </w:r>
          </w:p>
        </w:tc>
        <w:tc>
          <w:tcPr>
            <w:tcW w:w="1134"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按市场</w:t>
            </w:r>
          </w:p>
        </w:tc>
        <w:tc>
          <w:tcPr>
            <w:tcW w:w="851"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12,000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B6E96" w:rsidRDefault="00912F64" w:rsidP="007C6802">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1,</w:t>
            </w:r>
            <w:r w:rsidR="007C6802">
              <w:rPr>
                <w:rFonts w:ascii="Times New Roman" w:eastAsiaTheme="majorEastAsia" w:hAnsi="Times New Roman" w:hint="eastAsia"/>
                <w:bCs/>
                <w:szCs w:val="21"/>
              </w:rPr>
              <w:t>663</w:t>
            </w:r>
          </w:p>
        </w:tc>
        <w:tc>
          <w:tcPr>
            <w:tcW w:w="850"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12,113</w:t>
            </w:r>
          </w:p>
        </w:tc>
      </w:tr>
      <w:tr w:rsidR="004B6E96">
        <w:trPr>
          <w:trHeight w:val="788"/>
        </w:trPr>
        <w:tc>
          <w:tcPr>
            <w:tcW w:w="1276"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接受关联人提供的劳务</w:t>
            </w:r>
          </w:p>
        </w:tc>
        <w:tc>
          <w:tcPr>
            <w:tcW w:w="2268"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hAnsi="Times New Roman"/>
                <w:bCs/>
                <w:szCs w:val="21"/>
              </w:rPr>
            </w:pPr>
            <w:r>
              <w:rPr>
                <w:rFonts w:ascii="Times New Roman" w:hAnsi="Times New Roman"/>
                <w:bCs/>
                <w:szCs w:val="21"/>
              </w:rPr>
              <w:t>重庆永辉超市有限公司</w:t>
            </w:r>
          </w:p>
        </w:tc>
        <w:tc>
          <w:tcPr>
            <w:tcW w:w="992"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经营管理费</w:t>
            </w:r>
          </w:p>
        </w:tc>
        <w:tc>
          <w:tcPr>
            <w:tcW w:w="1134" w:type="dxa"/>
            <w:tcBorders>
              <w:top w:val="single" w:sz="4" w:space="0" w:color="000000"/>
              <w:left w:val="single" w:sz="4" w:space="0" w:color="000000"/>
              <w:bottom w:val="single" w:sz="4" w:space="0" w:color="000000"/>
              <w:right w:val="single" w:sz="4" w:space="0" w:color="000000"/>
            </w:tcBorders>
            <w:vAlign w:val="center"/>
          </w:tcPr>
          <w:p w:rsidR="004B6E96" w:rsidRDefault="00912F64">
            <w:pPr>
              <w:jc w:val="center"/>
              <w:rPr>
                <w:szCs w:val="18"/>
              </w:rPr>
            </w:pPr>
            <w:r>
              <w:rPr>
                <w:szCs w:val="18"/>
              </w:rPr>
              <w:t>按合同协商条款</w:t>
            </w:r>
          </w:p>
        </w:tc>
        <w:tc>
          <w:tcPr>
            <w:tcW w:w="851"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szCs w:val="1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69</w:t>
            </w:r>
          </w:p>
        </w:tc>
      </w:tr>
    </w:tbl>
    <w:p w:rsidR="004B6E96" w:rsidRDefault="00912F64">
      <w:pPr>
        <w:tabs>
          <w:tab w:val="left" w:pos="1200"/>
        </w:tabs>
        <w:spacing w:line="360" w:lineRule="auto"/>
        <w:ind w:firstLineChars="200" w:firstLine="482"/>
        <w:rPr>
          <w:rFonts w:ascii="Times New Roman" w:eastAsiaTheme="majorEastAsia" w:hAnsi="Times New Roman"/>
          <w:bCs/>
          <w:sz w:val="24"/>
        </w:rPr>
      </w:pPr>
      <w:r>
        <w:rPr>
          <w:rFonts w:ascii="楷体" w:eastAsia="楷体" w:hAnsi="楷体" w:hint="eastAsia"/>
          <w:b/>
          <w:bCs/>
          <w:sz w:val="24"/>
        </w:rPr>
        <w:t xml:space="preserve">（三）上一年度日常关联交易实际发生情况    </w:t>
      </w:r>
      <w:r>
        <w:rPr>
          <w:rFonts w:ascii="Times New Roman" w:eastAsiaTheme="majorEastAsia" w:hAnsi="Times New Roman"/>
          <w:bCs/>
          <w:sz w:val="24"/>
        </w:rPr>
        <w:t xml:space="preserve">                 </w:t>
      </w:r>
    </w:p>
    <w:p w:rsidR="004B6E96" w:rsidRDefault="00912F64">
      <w:pPr>
        <w:tabs>
          <w:tab w:val="left" w:pos="1200"/>
        </w:tabs>
        <w:spacing w:line="360" w:lineRule="auto"/>
        <w:ind w:firstLineChars="3450" w:firstLine="7245"/>
        <w:rPr>
          <w:rFonts w:ascii="Times New Roman" w:eastAsiaTheme="majorEastAsia" w:hAnsi="Times New Roman"/>
          <w:bCs/>
          <w:sz w:val="24"/>
        </w:rPr>
      </w:pPr>
      <w:r>
        <w:rPr>
          <w:rFonts w:ascii="Times New Roman" w:eastAsiaTheme="majorEastAsia" w:hAnsi="Times New Roman"/>
          <w:bCs/>
          <w:szCs w:val="21"/>
        </w:rPr>
        <w:t>单位：万元</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398"/>
        <w:gridCol w:w="1011"/>
        <w:gridCol w:w="1009"/>
        <w:gridCol w:w="849"/>
        <w:gridCol w:w="1130"/>
        <w:gridCol w:w="1123"/>
        <w:gridCol w:w="1134"/>
      </w:tblGrid>
      <w:tr w:rsidR="004B6E96">
        <w:tc>
          <w:tcPr>
            <w:tcW w:w="993"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关联交易类别</w:t>
            </w:r>
          </w:p>
        </w:tc>
        <w:tc>
          <w:tcPr>
            <w:tcW w:w="1398"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关联人</w:t>
            </w:r>
          </w:p>
        </w:tc>
        <w:tc>
          <w:tcPr>
            <w:tcW w:w="1011"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关联交易内容</w:t>
            </w:r>
          </w:p>
        </w:tc>
        <w:tc>
          <w:tcPr>
            <w:tcW w:w="1009"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实际发生金额</w:t>
            </w:r>
          </w:p>
        </w:tc>
        <w:tc>
          <w:tcPr>
            <w:tcW w:w="849"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预计金额</w:t>
            </w:r>
          </w:p>
        </w:tc>
        <w:tc>
          <w:tcPr>
            <w:tcW w:w="1130"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实际发生额占同类业务比例</w:t>
            </w:r>
          </w:p>
        </w:tc>
        <w:tc>
          <w:tcPr>
            <w:tcW w:w="1123"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实际发生额与预计金额差异</w:t>
            </w:r>
          </w:p>
        </w:tc>
        <w:tc>
          <w:tcPr>
            <w:tcW w:w="1134"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披露日期及索引</w:t>
            </w:r>
          </w:p>
        </w:tc>
      </w:tr>
      <w:tr w:rsidR="004B6E96">
        <w:trPr>
          <w:trHeight w:val="557"/>
        </w:trPr>
        <w:tc>
          <w:tcPr>
            <w:tcW w:w="993"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向关联人采购商品</w:t>
            </w:r>
          </w:p>
        </w:tc>
        <w:tc>
          <w:tcPr>
            <w:tcW w:w="1398"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rPr>
                <w:rFonts w:ascii="Times New Roman" w:eastAsiaTheme="majorEastAsia" w:hAnsi="Times New Roman"/>
                <w:bCs/>
                <w:szCs w:val="21"/>
              </w:rPr>
            </w:pPr>
            <w:r>
              <w:rPr>
                <w:rFonts w:ascii="Times New Roman" w:eastAsiaTheme="majorEastAsia" w:hAnsi="Times New Roman"/>
                <w:bCs/>
                <w:szCs w:val="21"/>
              </w:rPr>
              <w:t>永辉超市股份有限公司</w:t>
            </w:r>
            <w:r>
              <w:rPr>
                <w:rFonts w:ascii="Times New Roman" w:hAnsi="Times New Roman"/>
                <w:bCs/>
                <w:szCs w:val="21"/>
              </w:rPr>
              <w:t>及其下属控股公司</w:t>
            </w:r>
          </w:p>
        </w:tc>
        <w:tc>
          <w:tcPr>
            <w:tcW w:w="1011"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采购商品</w:t>
            </w:r>
          </w:p>
        </w:tc>
        <w:tc>
          <w:tcPr>
            <w:tcW w:w="1009"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12,113</w:t>
            </w:r>
          </w:p>
        </w:tc>
        <w:tc>
          <w:tcPr>
            <w:tcW w:w="849"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15,200</w:t>
            </w:r>
          </w:p>
        </w:tc>
        <w:tc>
          <w:tcPr>
            <w:tcW w:w="1130"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ind w:firstLine="270"/>
              <w:rPr>
                <w:rFonts w:ascii="Times New Roman" w:eastAsiaTheme="majorEastAsia" w:hAnsi="Times New Roman"/>
                <w:bCs/>
                <w:szCs w:val="21"/>
              </w:rPr>
            </w:pPr>
            <w:r>
              <w:rPr>
                <w:rFonts w:ascii="Times New Roman" w:eastAsiaTheme="majorEastAsia" w:hAnsi="Times New Roman" w:hint="eastAsia"/>
                <w:bCs/>
                <w:szCs w:val="21"/>
              </w:rPr>
              <w:t>1.02</w:t>
            </w:r>
            <w:r>
              <w:rPr>
                <w:rFonts w:ascii="Times New Roman" w:eastAsiaTheme="majorEastAsia" w:hAnsi="Times New Roman"/>
                <w:bCs/>
                <w:szCs w:val="21"/>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-20.31</w:t>
            </w:r>
            <w:r>
              <w:rPr>
                <w:rFonts w:ascii="Times New Roman" w:eastAsiaTheme="majorEastAsia" w:hAnsi="Times New Roman"/>
                <w:bCs/>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20</w:t>
            </w:r>
            <w:r>
              <w:rPr>
                <w:rFonts w:ascii="Times New Roman" w:eastAsiaTheme="majorEastAsia" w:hAnsi="Times New Roman" w:hint="eastAsia"/>
                <w:bCs/>
                <w:szCs w:val="21"/>
              </w:rPr>
              <w:t>21</w:t>
            </w:r>
            <w:r>
              <w:rPr>
                <w:rFonts w:ascii="Times New Roman" w:eastAsiaTheme="majorEastAsia" w:hAnsi="Times New Roman"/>
                <w:bCs/>
                <w:szCs w:val="21"/>
              </w:rPr>
              <w:t>年</w:t>
            </w:r>
            <w:r>
              <w:rPr>
                <w:rFonts w:ascii="Times New Roman" w:eastAsiaTheme="majorEastAsia" w:hAnsi="Times New Roman" w:hint="eastAsia"/>
                <w:bCs/>
                <w:szCs w:val="21"/>
              </w:rPr>
              <w:t>3</w:t>
            </w:r>
            <w:r>
              <w:rPr>
                <w:rFonts w:ascii="Times New Roman" w:eastAsiaTheme="majorEastAsia" w:hAnsi="Times New Roman"/>
                <w:bCs/>
                <w:szCs w:val="21"/>
              </w:rPr>
              <w:t>月</w:t>
            </w:r>
            <w:r>
              <w:rPr>
                <w:rFonts w:ascii="Times New Roman" w:eastAsiaTheme="majorEastAsia" w:hAnsi="Times New Roman"/>
                <w:bCs/>
                <w:szCs w:val="21"/>
              </w:rPr>
              <w:t>2</w:t>
            </w:r>
            <w:r>
              <w:rPr>
                <w:rFonts w:ascii="Times New Roman" w:eastAsiaTheme="majorEastAsia" w:hAnsi="Times New Roman" w:hint="eastAsia"/>
                <w:bCs/>
                <w:szCs w:val="21"/>
              </w:rPr>
              <w:t>5</w:t>
            </w:r>
            <w:r>
              <w:rPr>
                <w:rFonts w:ascii="Times New Roman" w:eastAsiaTheme="majorEastAsia" w:hAnsi="Times New Roman"/>
                <w:bCs/>
                <w:szCs w:val="21"/>
              </w:rPr>
              <w:t>日，公告号：</w:t>
            </w:r>
            <w:r>
              <w:rPr>
                <w:rFonts w:ascii="Times New Roman" w:eastAsiaTheme="majorEastAsia" w:hAnsi="Times New Roman"/>
                <w:bCs/>
                <w:szCs w:val="21"/>
              </w:rPr>
              <w:t>20</w:t>
            </w:r>
            <w:r>
              <w:rPr>
                <w:rFonts w:ascii="Times New Roman" w:eastAsiaTheme="majorEastAsia" w:hAnsi="Times New Roman" w:hint="eastAsia"/>
                <w:bCs/>
                <w:szCs w:val="21"/>
              </w:rPr>
              <w:t>21</w:t>
            </w:r>
            <w:r>
              <w:rPr>
                <w:rFonts w:ascii="Times New Roman" w:eastAsiaTheme="majorEastAsia" w:hAnsi="Times New Roman"/>
                <w:bCs/>
                <w:szCs w:val="21"/>
              </w:rPr>
              <w:t>-</w:t>
            </w:r>
            <w:r>
              <w:rPr>
                <w:rFonts w:ascii="Times New Roman" w:eastAsiaTheme="majorEastAsia" w:hAnsi="Times New Roman" w:hint="eastAsia"/>
                <w:bCs/>
                <w:szCs w:val="21"/>
              </w:rPr>
              <w:t>027</w:t>
            </w:r>
          </w:p>
        </w:tc>
      </w:tr>
      <w:tr w:rsidR="004B6E96">
        <w:trPr>
          <w:trHeight w:val="557"/>
        </w:trPr>
        <w:tc>
          <w:tcPr>
            <w:tcW w:w="993" w:type="dxa"/>
            <w:tcBorders>
              <w:top w:val="single" w:sz="4" w:space="0" w:color="000000"/>
              <w:left w:val="single" w:sz="4" w:space="0" w:color="000000"/>
              <w:bottom w:val="single" w:sz="4" w:space="0" w:color="000000"/>
              <w:right w:val="single" w:sz="4" w:space="0" w:color="000000"/>
            </w:tcBorders>
            <w:vAlign w:val="center"/>
          </w:tcPr>
          <w:p w:rsidR="004B6E96" w:rsidRDefault="00912F64">
            <w:pPr>
              <w:tabs>
                <w:tab w:val="left" w:pos="1200"/>
              </w:tabs>
              <w:adjustRightInd w:val="0"/>
              <w:snapToGrid w:val="0"/>
              <w:jc w:val="center"/>
              <w:rPr>
                <w:rFonts w:ascii="Times New Roman" w:eastAsiaTheme="majorEastAsia" w:hAnsi="Times New Roman"/>
                <w:bCs/>
                <w:szCs w:val="21"/>
              </w:rPr>
            </w:pPr>
            <w:r>
              <w:rPr>
                <w:szCs w:val="18"/>
              </w:rPr>
              <w:t>接受关联人提供的劳</w:t>
            </w:r>
            <w:r>
              <w:rPr>
                <w:szCs w:val="18"/>
              </w:rPr>
              <w:lastRenderedPageBreak/>
              <w:t>务</w:t>
            </w:r>
          </w:p>
        </w:tc>
        <w:tc>
          <w:tcPr>
            <w:tcW w:w="1398"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rPr>
                <w:rFonts w:ascii="Times New Roman" w:eastAsiaTheme="majorEastAsia" w:hAnsi="Times New Roman"/>
                <w:bCs/>
                <w:szCs w:val="21"/>
              </w:rPr>
            </w:pPr>
            <w:r>
              <w:rPr>
                <w:szCs w:val="18"/>
              </w:rPr>
              <w:lastRenderedPageBreak/>
              <w:t>重庆永辉超市有限公司</w:t>
            </w:r>
          </w:p>
        </w:tc>
        <w:tc>
          <w:tcPr>
            <w:tcW w:w="1011"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szCs w:val="18"/>
              </w:rPr>
              <w:t>经营管理费</w:t>
            </w:r>
          </w:p>
        </w:tc>
        <w:tc>
          <w:tcPr>
            <w:tcW w:w="1009"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hint="eastAsia"/>
                <w:bCs/>
                <w:szCs w:val="21"/>
              </w:rPr>
              <w:t>69</w:t>
            </w:r>
          </w:p>
        </w:tc>
        <w:tc>
          <w:tcPr>
            <w:tcW w:w="849"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hint="eastAsia"/>
                <w:szCs w:val="18"/>
              </w:rPr>
              <w:t>200</w:t>
            </w:r>
          </w:p>
        </w:tc>
        <w:tc>
          <w:tcPr>
            <w:tcW w:w="1130"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ind w:firstLine="270"/>
              <w:rPr>
                <w:rFonts w:ascii="Times New Roman" w:eastAsiaTheme="majorEastAsia" w:hAnsi="Times New Roman"/>
                <w:bCs/>
                <w:szCs w:val="21"/>
              </w:rPr>
            </w:pPr>
            <w:r>
              <w:rPr>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hint="eastAsia"/>
                <w:szCs w:val="18"/>
              </w:rPr>
              <w:t>-65.44%</w:t>
            </w:r>
          </w:p>
        </w:tc>
        <w:tc>
          <w:tcPr>
            <w:tcW w:w="1134" w:type="dxa"/>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center"/>
              <w:rPr>
                <w:rFonts w:ascii="Times New Roman" w:eastAsiaTheme="majorEastAsia" w:hAnsi="Times New Roman"/>
                <w:bCs/>
                <w:szCs w:val="21"/>
              </w:rPr>
            </w:pPr>
            <w:r>
              <w:rPr>
                <w:rFonts w:ascii="Times New Roman" w:eastAsiaTheme="majorEastAsia" w:hAnsi="Times New Roman"/>
                <w:bCs/>
                <w:szCs w:val="21"/>
              </w:rPr>
              <w:t>20</w:t>
            </w:r>
            <w:r>
              <w:rPr>
                <w:rFonts w:ascii="Times New Roman" w:eastAsiaTheme="majorEastAsia" w:hAnsi="Times New Roman" w:hint="eastAsia"/>
                <w:bCs/>
                <w:szCs w:val="21"/>
              </w:rPr>
              <w:t>21</w:t>
            </w:r>
            <w:r>
              <w:rPr>
                <w:rFonts w:ascii="Times New Roman" w:eastAsiaTheme="majorEastAsia" w:hAnsi="Times New Roman"/>
                <w:bCs/>
                <w:szCs w:val="21"/>
              </w:rPr>
              <w:t>年</w:t>
            </w:r>
            <w:r>
              <w:rPr>
                <w:rFonts w:ascii="Times New Roman" w:eastAsiaTheme="majorEastAsia" w:hAnsi="Times New Roman" w:hint="eastAsia"/>
                <w:bCs/>
                <w:szCs w:val="21"/>
              </w:rPr>
              <w:t>3</w:t>
            </w:r>
            <w:r>
              <w:rPr>
                <w:rFonts w:ascii="Times New Roman" w:eastAsiaTheme="majorEastAsia" w:hAnsi="Times New Roman"/>
                <w:bCs/>
                <w:szCs w:val="21"/>
              </w:rPr>
              <w:t>月</w:t>
            </w:r>
            <w:r>
              <w:rPr>
                <w:rFonts w:ascii="Times New Roman" w:eastAsiaTheme="majorEastAsia" w:hAnsi="Times New Roman"/>
                <w:bCs/>
                <w:szCs w:val="21"/>
              </w:rPr>
              <w:t>2</w:t>
            </w:r>
            <w:r>
              <w:rPr>
                <w:rFonts w:ascii="Times New Roman" w:eastAsiaTheme="majorEastAsia" w:hAnsi="Times New Roman" w:hint="eastAsia"/>
                <w:bCs/>
                <w:szCs w:val="21"/>
              </w:rPr>
              <w:t>5</w:t>
            </w:r>
            <w:r>
              <w:rPr>
                <w:rFonts w:ascii="Times New Roman" w:eastAsiaTheme="majorEastAsia" w:hAnsi="Times New Roman"/>
                <w:bCs/>
                <w:szCs w:val="21"/>
              </w:rPr>
              <w:t>日，公告号：</w:t>
            </w:r>
            <w:r>
              <w:rPr>
                <w:rFonts w:ascii="Times New Roman" w:eastAsiaTheme="majorEastAsia" w:hAnsi="Times New Roman"/>
                <w:bCs/>
                <w:szCs w:val="21"/>
              </w:rPr>
              <w:lastRenderedPageBreak/>
              <w:t>20</w:t>
            </w:r>
            <w:r>
              <w:rPr>
                <w:rFonts w:ascii="Times New Roman" w:eastAsiaTheme="majorEastAsia" w:hAnsi="Times New Roman" w:hint="eastAsia"/>
                <w:bCs/>
                <w:szCs w:val="21"/>
              </w:rPr>
              <w:t>21</w:t>
            </w:r>
            <w:r>
              <w:rPr>
                <w:rFonts w:ascii="Times New Roman" w:eastAsiaTheme="majorEastAsia" w:hAnsi="Times New Roman"/>
                <w:bCs/>
                <w:szCs w:val="21"/>
              </w:rPr>
              <w:t>-</w:t>
            </w:r>
            <w:r>
              <w:rPr>
                <w:rFonts w:ascii="Times New Roman" w:eastAsiaTheme="majorEastAsia" w:hAnsi="Times New Roman" w:hint="eastAsia"/>
                <w:bCs/>
                <w:szCs w:val="21"/>
              </w:rPr>
              <w:t>027</w:t>
            </w:r>
          </w:p>
        </w:tc>
      </w:tr>
      <w:tr w:rsidR="004B6E96">
        <w:trPr>
          <w:trHeight w:val="773"/>
        </w:trPr>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left"/>
              <w:rPr>
                <w:rFonts w:ascii="Times New Roman" w:eastAsiaTheme="majorEastAsia" w:hAnsi="Times New Roman"/>
                <w:bCs/>
                <w:szCs w:val="21"/>
              </w:rPr>
            </w:pPr>
            <w:r>
              <w:rPr>
                <w:rFonts w:ascii="Times New Roman" w:eastAsiaTheme="majorEastAsia" w:hAnsi="Times New Roman"/>
                <w:bCs/>
                <w:szCs w:val="21"/>
              </w:rPr>
              <w:lastRenderedPageBreak/>
              <w:t>公司董事会对日常关联交易实际发生情况与预计存在较大差异的说明</w:t>
            </w:r>
          </w:p>
        </w:tc>
        <w:tc>
          <w:tcPr>
            <w:tcW w:w="5245" w:type="dxa"/>
            <w:gridSpan w:val="5"/>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left"/>
              <w:rPr>
                <w:rFonts w:asciiTheme="minorEastAsia" w:eastAsiaTheme="minorEastAsia" w:hAnsiTheme="minorEastAsia"/>
                <w:bCs/>
                <w:szCs w:val="21"/>
              </w:rPr>
            </w:pPr>
            <w:r>
              <w:rPr>
                <w:rFonts w:asciiTheme="minorEastAsia" w:eastAsiaTheme="minorEastAsia" w:hAnsiTheme="minorEastAsia" w:hint="eastAsia"/>
                <w:szCs w:val="21"/>
              </w:rPr>
              <w:t>2021年，中百仓储重庆公司3家门店因租赁合同到期而闭店，造成商品采购金额较预计减少，因此2021年日常关联交易实际发生情况与预计存在较大差异。</w:t>
            </w:r>
          </w:p>
        </w:tc>
      </w:tr>
      <w:tr w:rsidR="004B6E96">
        <w:trPr>
          <w:trHeight w:val="274"/>
        </w:trPr>
        <w:tc>
          <w:tcPr>
            <w:tcW w:w="3402" w:type="dxa"/>
            <w:gridSpan w:val="3"/>
            <w:tcBorders>
              <w:top w:val="single" w:sz="4" w:space="0" w:color="000000"/>
              <w:left w:val="single" w:sz="4" w:space="0" w:color="000000"/>
              <w:bottom w:val="single" w:sz="4" w:space="0" w:color="auto"/>
              <w:right w:val="single" w:sz="4" w:space="0" w:color="000000"/>
            </w:tcBorders>
            <w:vAlign w:val="center"/>
          </w:tcPr>
          <w:p w:rsidR="004B6E96" w:rsidRDefault="00912F64">
            <w:pPr>
              <w:adjustRightInd w:val="0"/>
              <w:snapToGrid w:val="0"/>
              <w:jc w:val="left"/>
              <w:rPr>
                <w:rFonts w:ascii="Times New Roman" w:eastAsiaTheme="majorEastAsia" w:hAnsi="Times New Roman"/>
                <w:bCs/>
                <w:szCs w:val="21"/>
              </w:rPr>
            </w:pPr>
            <w:r>
              <w:rPr>
                <w:rFonts w:ascii="Times New Roman" w:eastAsiaTheme="majorEastAsia" w:hAnsi="Times New Roman"/>
                <w:bCs/>
                <w:szCs w:val="21"/>
              </w:rPr>
              <w:t>公司独立董事对日常关联交易实际发生情况与预计存在较大差异的说明</w:t>
            </w:r>
          </w:p>
        </w:tc>
        <w:tc>
          <w:tcPr>
            <w:tcW w:w="5245" w:type="dxa"/>
            <w:gridSpan w:val="5"/>
            <w:tcBorders>
              <w:top w:val="single" w:sz="4" w:space="0" w:color="000000"/>
              <w:left w:val="single" w:sz="4" w:space="0" w:color="000000"/>
              <w:bottom w:val="single" w:sz="4" w:space="0" w:color="000000"/>
              <w:right w:val="single" w:sz="4" w:space="0" w:color="000000"/>
            </w:tcBorders>
            <w:vAlign w:val="center"/>
          </w:tcPr>
          <w:p w:rsidR="004B6E96" w:rsidRDefault="00912F64">
            <w:pPr>
              <w:adjustRightInd w:val="0"/>
              <w:snapToGrid w:val="0"/>
              <w:jc w:val="left"/>
            </w:pPr>
            <w:r>
              <w:t>公司董事会对</w:t>
            </w:r>
            <w:r>
              <w:t>2021</w:t>
            </w:r>
            <w:r>
              <w:t>年日常关联交易实际发生情况与预计存在较大差异的说明符合公司的实际情况，关联交易遵循了</w:t>
            </w:r>
            <w:r>
              <w:t>“</w:t>
            </w:r>
            <w:r>
              <w:t>公平、公正、公允</w:t>
            </w:r>
            <w:r>
              <w:t xml:space="preserve">” </w:t>
            </w:r>
            <w:r>
              <w:t>的原则，交易事项符合市场原则，决策程序合法，交易定价公允合理，不存在损害公司及其他股东利益特别是中小股东利益的情形。</w:t>
            </w:r>
          </w:p>
        </w:tc>
      </w:tr>
    </w:tbl>
    <w:p w:rsidR="004B6E96" w:rsidRDefault="00912F64" w:rsidP="00430A03">
      <w:pPr>
        <w:tabs>
          <w:tab w:val="left" w:pos="1200"/>
        </w:tabs>
        <w:adjustRightInd w:val="0"/>
        <w:snapToGrid w:val="0"/>
        <w:spacing w:line="360" w:lineRule="auto"/>
        <w:ind w:firstLineChars="196" w:firstLine="470"/>
        <w:rPr>
          <w:rFonts w:ascii="黑体" w:eastAsia="黑体" w:hAnsi="黑体" w:cs="黑体"/>
          <w:bCs/>
          <w:sz w:val="24"/>
        </w:rPr>
      </w:pPr>
      <w:r>
        <w:rPr>
          <w:rFonts w:ascii="黑体" w:eastAsia="黑体" w:hAnsi="黑体" w:cs="黑体" w:hint="eastAsia"/>
          <w:bCs/>
          <w:sz w:val="24"/>
        </w:rPr>
        <w:t>二、关联人介绍和关联关系</w:t>
      </w:r>
    </w:p>
    <w:p w:rsidR="004B6E96" w:rsidRDefault="00912F64" w:rsidP="00430A03">
      <w:pPr>
        <w:tabs>
          <w:tab w:val="left" w:pos="1200"/>
        </w:tabs>
        <w:adjustRightInd w:val="0"/>
        <w:snapToGrid w:val="0"/>
        <w:spacing w:line="360" w:lineRule="auto"/>
        <w:ind w:firstLineChars="200" w:firstLine="482"/>
        <w:rPr>
          <w:rFonts w:ascii="楷体" w:eastAsia="楷体" w:hAnsi="楷体" w:cs="楷体"/>
          <w:b/>
          <w:bCs/>
          <w:sz w:val="24"/>
        </w:rPr>
      </w:pPr>
      <w:r>
        <w:rPr>
          <w:rFonts w:ascii="楷体" w:eastAsia="楷体" w:hAnsi="楷体" w:cs="楷体" w:hint="eastAsia"/>
          <w:b/>
          <w:bCs/>
          <w:sz w:val="24"/>
        </w:rPr>
        <w:t>（一）关联人基本情况</w:t>
      </w:r>
    </w:p>
    <w:p w:rsidR="004B6E96" w:rsidRDefault="00912F64" w:rsidP="00430A03">
      <w:pPr>
        <w:autoSpaceDE w:val="0"/>
        <w:autoSpaceDN w:val="0"/>
        <w:adjustRightInd w:val="0"/>
        <w:snapToGrid w:val="0"/>
        <w:spacing w:line="360" w:lineRule="auto"/>
        <w:ind w:firstLineChars="199" w:firstLine="478"/>
        <w:jc w:val="left"/>
        <w:rPr>
          <w:rFonts w:ascii="Times New Roman" w:hAnsi="Times New Roman"/>
          <w:bCs/>
          <w:sz w:val="24"/>
        </w:rPr>
      </w:pPr>
      <w:r>
        <w:rPr>
          <w:rFonts w:ascii="Times New Roman" w:hAnsi="Times New Roman"/>
          <w:bCs/>
          <w:sz w:val="24"/>
        </w:rPr>
        <w:t>关联人名称：永辉超市股份有限公司</w:t>
      </w:r>
      <w:r>
        <w:rPr>
          <w:rFonts w:ascii="Times New Roman" w:hAnsi="Times New Roman"/>
          <w:bCs/>
          <w:sz w:val="24"/>
        </w:rPr>
        <w:t xml:space="preserve"> </w:t>
      </w:r>
    </w:p>
    <w:p w:rsidR="004B6E96" w:rsidRDefault="00912F64" w:rsidP="00430A03">
      <w:pPr>
        <w:autoSpaceDE w:val="0"/>
        <w:autoSpaceDN w:val="0"/>
        <w:adjustRightInd w:val="0"/>
        <w:snapToGrid w:val="0"/>
        <w:spacing w:line="360" w:lineRule="auto"/>
        <w:ind w:firstLineChars="199" w:firstLine="478"/>
        <w:jc w:val="left"/>
        <w:rPr>
          <w:rFonts w:asciiTheme="minorEastAsia" w:eastAsiaTheme="minorEastAsia" w:hAnsiTheme="minorEastAsia"/>
          <w:bCs/>
          <w:sz w:val="24"/>
        </w:rPr>
      </w:pPr>
      <w:r>
        <w:rPr>
          <w:rFonts w:asciiTheme="minorEastAsia" w:eastAsiaTheme="minorEastAsia" w:hAnsiTheme="minorEastAsia"/>
          <w:bCs/>
          <w:sz w:val="24"/>
        </w:rPr>
        <w:t>注册地址：福建省福州市西二环中路436号</w:t>
      </w:r>
      <w:r>
        <w:rPr>
          <w:rFonts w:asciiTheme="minorEastAsia" w:eastAsiaTheme="minorEastAsia" w:hAnsiTheme="minorEastAsia"/>
          <w:bCs/>
          <w:sz w:val="24"/>
        </w:rPr>
        <w:tab/>
      </w:r>
    </w:p>
    <w:p w:rsidR="004B6E96" w:rsidRDefault="00912F64" w:rsidP="00430A03">
      <w:pPr>
        <w:autoSpaceDE w:val="0"/>
        <w:autoSpaceDN w:val="0"/>
        <w:adjustRightInd w:val="0"/>
        <w:snapToGrid w:val="0"/>
        <w:spacing w:line="360" w:lineRule="auto"/>
        <w:ind w:firstLineChars="199" w:firstLine="478"/>
        <w:jc w:val="left"/>
        <w:rPr>
          <w:rFonts w:asciiTheme="minorEastAsia" w:eastAsiaTheme="minorEastAsia" w:hAnsiTheme="minorEastAsia"/>
          <w:bCs/>
          <w:sz w:val="24"/>
        </w:rPr>
      </w:pPr>
      <w:r>
        <w:rPr>
          <w:rFonts w:asciiTheme="minorEastAsia" w:eastAsiaTheme="minorEastAsia" w:hAnsiTheme="minorEastAsia"/>
          <w:bCs/>
          <w:sz w:val="24"/>
        </w:rPr>
        <w:t>法定代表人：张轩松</w:t>
      </w:r>
    </w:p>
    <w:p w:rsidR="004B6E96" w:rsidRPr="0015202D" w:rsidRDefault="00912F64" w:rsidP="00430A03">
      <w:pPr>
        <w:autoSpaceDE w:val="0"/>
        <w:autoSpaceDN w:val="0"/>
        <w:adjustRightInd w:val="0"/>
        <w:snapToGrid w:val="0"/>
        <w:spacing w:line="360" w:lineRule="auto"/>
        <w:ind w:firstLineChars="199" w:firstLine="478"/>
        <w:jc w:val="left"/>
        <w:rPr>
          <w:rFonts w:asciiTheme="minorEastAsia" w:eastAsiaTheme="minorEastAsia" w:hAnsiTheme="minorEastAsia"/>
          <w:bCs/>
          <w:sz w:val="24"/>
        </w:rPr>
      </w:pPr>
      <w:r w:rsidRPr="0015202D">
        <w:rPr>
          <w:rFonts w:asciiTheme="minorEastAsia" w:eastAsiaTheme="minorEastAsia" w:hAnsiTheme="minorEastAsia"/>
          <w:bCs/>
          <w:sz w:val="24"/>
        </w:rPr>
        <w:t>注册资本：</w:t>
      </w:r>
      <w:r w:rsidR="0015202D" w:rsidRPr="0015202D">
        <w:rPr>
          <w:rFonts w:asciiTheme="minorEastAsia" w:eastAsiaTheme="minorEastAsia" w:hAnsiTheme="minorEastAsia"/>
          <w:bCs/>
          <w:sz w:val="24"/>
        </w:rPr>
        <w:t xml:space="preserve">907,503.6993 </w:t>
      </w:r>
      <w:r w:rsidRPr="0015202D">
        <w:rPr>
          <w:rFonts w:asciiTheme="minorEastAsia" w:eastAsiaTheme="minorEastAsia" w:hAnsiTheme="minorEastAsia"/>
          <w:bCs/>
          <w:sz w:val="24"/>
        </w:rPr>
        <w:t>(元)人民币</w:t>
      </w:r>
    </w:p>
    <w:p w:rsidR="004B6E96" w:rsidRDefault="00912F64" w:rsidP="00430A03">
      <w:pPr>
        <w:autoSpaceDE w:val="0"/>
        <w:autoSpaceDN w:val="0"/>
        <w:adjustRightInd w:val="0"/>
        <w:snapToGrid w:val="0"/>
        <w:spacing w:line="360" w:lineRule="auto"/>
        <w:ind w:firstLineChars="199" w:firstLine="478"/>
        <w:jc w:val="left"/>
        <w:rPr>
          <w:rFonts w:asciiTheme="minorEastAsia" w:eastAsiaTheme="minorEastAsia" w:hAnsiTheme="minorEastAsia"/>
          <w:bCs/>
          <w:sz w:val="24"/>
        </w:rPr>
      </w:pPr>
      <w:r>
        <w:rPr>
          <w:rFonts w:asciiTheme="minorEastAsia" w:eastAsiaTheme="minorEastAsia" w:hAnsiTheme="minorEastAsia"/>
          <w:bCs/>
          <w:sz w:val="24"/>
        </w:rPr>
        <w:t>统一社会信用代码：91350000727900106T</w:t>
      </w:r>
    </w:p>
    <w:p w:rsidR="004B6E96" w:rsidRDefault="00912F64" w:rsidP="00430A03">
      <w:pPr>
        <w:autoSpaceDE w:val="0"/>
        <w:autoSpaceDN w:val="0"/>
        <w:adjustRightInd w:val="0"/>
        <w:snapToGrid w:val="0"/>
        <w:spacing w:line="360" w:lineRule="auto"/>
        <w:ind w:firstLineChars="199" w:firstLine="478"/>
        <w:jc w:val="left"/>
        <w:rPr>
          <w:rFonts w:asciiTheme="minorEastAsia" w:eastAsiaTheme="minorEastAsia" w:hAnsiTheme="minorEastAsia"/>
          <w:bCs/>
          <w:sz w:val="24"/>
        </w:rPr>
      </w:pPr>
      <w:r>
        <w:rPr>
          <w:rFonts w:asciiTheme="minorEastAsia" w:eastAsiaTheme="minorEastAsia" w:hAnsiTheme="minorEastAsia"/>
          <w:bCs/>
          <w:sz w:val="24"/>
        </w:rPr>
        <w:t xml:space="preserve">企业类型：股份有限公司（在上海证券交易所挂牌上市的公众公司，股票代码：601933） </w:t>
      </w:r>
    </w:p>
    <w:p w:rsidR="004B6E96" w:rsidRDefault="00912F64" w:rsidP="00430A03">
      <w:pPr>
        <w:autoSpaceDE w:val="0"/>
        <w:autoSpaceDN w:val="0"/>
        <w:adjustRightInd w:val="0"/>
        <w:snapToGrid w:val="0"/>
        <w:spacing w:line="360" w:lineRule="auto"/>
        <w:ind w:firstLineChars="199" w:firstLine="478"/>
        <w:jc w:val="left"/>
        <w:rPr>
          <w:rFonts w:asciiTheme="minorEastAsia" w:eastAsiaTheme="minorEastAsia" w:hAnsiTheme="minorEastAsia"/>
          <w:bCs/>
          <w:sz w:val="24"/>
          <w:szCs w:val="24"/>
        </w:rPr>
      </w:pPr>
      <w:r>
        <w:rPr>
          <w:rFonts w:asciiTheme="minorEastAsia" w:eastAsiaTheme="minorEastAsia" w:hAnsiTheme="minorEastAsia"/>
          <w:bCs/>
          <w:sz w:val="24"/>
          <w:szCs w:val="24"/>
        </w:rPr>
        <w:t>主要经营范围：农副产品、水产品、粮油及制品、食品饮料、酒及其他副食品、日用百货、家用电器及电子产品、通讯器材、针纺织品、服装、文化体育用品及器材、音像制品、出版物及电子出版物、珠宝、金银饰品、汽车摩托车零配件、汽车装潢、消防器材、工艺品（文物、象牙及其制品除外）、五金交电、仪器仪表、五金家具及室内装修材料、花卉、玩具等的零售和批发，以及提供相关的配套服务；零售和批发预包装食品、散装食品、保健食品、乳制品（含婴幼儿配方乳粉）；零售和批发医疗器械；西药销售（不含兽药，不含互联网药品交易服务）；中药销售（不含兽药，不含互联网药品交易服务）；互联网药品交易服务；零售香烟（限分支机构在行业许可的期限和范围内开展经营活动）；组织部分自营商品的加工及农副产品收购；餐饮服务；出租部分商场设施或分租部分商场的场地予分租户从事合法经营（以上全部项目另设分支机构经营）；物业管理、仓储服务、广告服务；信息咨询（保险、证券、期货、金融等行业咨询除外）；以特许经营方式从事商业活动；自营商品的进口，采购国内产品的出口（以上商品进出口不涉及国营贸易、进出口配额许可证、出口配额招标、出口许可证等专项管理的商品）；网上贸易代理；互联网零售；信息服务业务；互联网接入服务业</w:t>
      </w:r>
      <w:r>
        <w:rPr>
          <w:rFonts w:asciiTheme="minorEastAsia" w:eastAsiaTheme="minorEastAsia" w:hAnsiTheme="minorEastAsia"/>
          <w:bCs/>
          <w:sz w:val="24"/>
          <w:szCs w:val="24"/>
        </w:rPr>
        <w:lastRenderedPageBreak/>
        <w:t>务；互联网数据中心业务；在线数据处理与交易处理业务；专业停车场服务；普通货物道路运输；冷藏车道路运输；集装箱道路运输；大型货物道路运输；其他道路货物运输。（依法须经批准的项目，经相关部门批准后方可开展经营活动）</w:t>
      </w:r>
    </w:p>
    <w:p w:rsidR="004B6E96" w:rsidRDefault="00912F64" w:rsidP="00430A03">
      <w:pPr>
        <w:autoSpaceDE w:val="0"/>
        <w:autoSpaceDN w:val="0"/>
        <w:adjustRightInd w:val="0"/>
        <w:snapToGrid w:val="0"/>
        <w:spacing w:line="360" w:lineRule="auto"/>
        <w:ind w:firstLineChars="199" w:firstLine="478"/>
        <w:jc w:val="left"/>
        <w:rPr>
          <w:rFonts w:asciiTheme="minorEastAsia" w:eastAsiaTheme="minorEastAsia" w:hAnsiTheme="minorEastAsia"/>
          <w:bCs/>
          <w:sz w:val="24"/>
        </w:rPr>
      </w:pPr>
      <w:r>
        <w:rPr>
          <w:rFonts w:asciiTheme="minorEastAsia" w:eastAsiaTheme="minorEastAsia" w:hAnsiTheme="minorEastAsia" w:hint="eastAsia"/>
          <w:bCs/>
          <w:sz w:val="24"/>
        </w:rPr>
        <w:t>主要财务数据：2020年总资产</w:t>
      </w:r>
      <w:r>
        <w:rPr>
          <w:rFonts w:asciiTheme="minorEastAsia" w:eastAsiaTheme="minorEastAsia" w:hAnsiTheme="minorEastAsia"/>
          <w:bCs/>
          <w:sz w:val="24"/>
        </w:rPr>
        <w:t>5,</w:t>
      </w:r>
      <w:r>
        <w:rPr>
          <w:rFonts w:asciiTheme="minorEastAsia" w:eastAsiaTheme="minorEastAsia" w:hAnsiTheme="minorEastAsia" w:hint="eastAsia"/>
          <w:bCs/>
          <w:sz w:val="24"/>
        </w:rPr>
        <w:t>615</w:t>
      </w:r>
      <w:r>
        <w:rPr>
          <w:rFonts w:asciiTheme="minorEastAsia" w:eastAsiaTheme="minorEastAsia" w:hAnsiTheme="minorEastAsia"/>
          <w:bCs/>
          <w:sz w:val="24"/>
        </w:rPr>
        <w:t>,</w:t>
      </w:r>
      <w:r>
        <w:rPr>
          <w:rFonts w:asciiTheme="minorEastAsia" w:eastAsiaTheme="minorEastAsia" w:hAnsiTheme="minorEastAsia" w:hint="eastAsia"/>
          <w:bCs/>
          <w:sz w:val="24"/>
        </w:rPr>
        <w:t>798</w:t>
      </w:r>
      <w:r>
        <w:rPr>
          <w:rFonts w:asciiTheme="minorEastAsia" w:eastAsiaTheme="minorEastAsia" w:hAnsiTheme="minorEastAsia"/>
          <w:bCs/>
          <w:sz w:val="24"/>
        </w:rPr>
        <w:t>.</w:t>
      </w:r>
      <w:r>
        <w:rPr>
          <w:rFonts w:asciiTheme="minorEastAsia" w:eastAsiaTheme="minorEastAsia" w:hAnsiTheme="minorEastAsia" w:hint="eastAsia"/>
          <w:bCs/>
          <w:sz w:val="24"/>
        </w:rPr>
        <w:t>12万元；净资产1</w:t>
      </w:r>
      <w:r>
        <w:rPr>
          <w:rFonts w:asciiTheme="minorEastAsia" w:eastAsiaTheme="minorEastAsia" w:hAnsiTheme="minorEastAsia"/>
          <w:bCs/>
          <w:sz w:val="24"/>
        </w:rPr>
        <w:t>,</w:t>
      </w:r>
      <w:r>
        <w:rPr>
          <w:rFonts w:asciiTheme="minorEastAsia" w:eastAsiaTheme="minorEastAsia" w:hAnsiTheme="minorEastAsia" w:hint="eastAsia"/>
          <w:bCs/>
          <w:sz w:val="24"/>
        </w:rPr>
        <w:t>935</w:t>
      </w:r>
      <w:r>
        <w:rPr>
          <w:rFonts w:asciiTheme="minorEastAsia" w:eastAsiaTheme="minorEastAsia" w:hAnsiTheme="minorEastAsia"/>
          <w:bCs/>
          <w:sz w:val="24"/>
        </w:rPr>
        <w:t>,</w:t>
      </w:r>
      <w:r>
        <w:rPr>
          <w:rFonts w:asciiTheme="minorEastAsia" w:eastAsiaTheme="minorEastAsia" w:hAnsiTheme="minorEastAsia" w:hint="eastAsia"/>
          <w:bCs/>
          <w:sz w:val="24"/>
        </w:rPr>
        <w:t>110</w:t>
      </w:r>
      <w:r>
        <w:rPr>
          <w:rFonts w:asciiTheme="minorEastAsia" w:eastAsiaTheme="minorEastAsia" w:hAnsiTheme="minorEastAsia"/>
          <w:bCs/>
          <w:sz w:val="24"/>
        </w:rPr>
        <w:t>.</w:t>
      </w:r>
      <w:r>
        <w:rPr>
          <w:rFonts w:asciiTheme="minorEastAsia" w:eastAsiaTheme="minorEastAsia" w:hAnsiTheme="minorEastAsia" w:hint="eastAsia"/>
          <w:bCs/>
          <w:sz w:val="24"/>
        </w:rPr>
        <w:t>22万元；营业收入9</w:t>
      </w:r>
      <w:r>
        <w:rPr>
          <w:rFonts w:asciiTheme="minorEastAsia" w:eastAsiaTheme="minorEastAsia" w:hAnsiTheme="minorEastAsia"/>
          <w:bCs/>
          <w:sz w:val="24"/>
        </w:rPr>
        <w:t>,</w:t>
      </w:r>
      <w:r>
        <w:rPr>
          <w:rFonts w:asciiTheme="minorEastAsia" w:eastAsiaTheme="minorEastAsia" w:hAnsiTheme="minorEastAsia" w:hint="eastAsia"/>
          <w:bCs/>
          <w:sz w:val="24"/>
        </w:rPr>
        <w:t>319</w:t>
      </w:r>
      <w:r>
        <w:rPr>
          <w:rFonts w:asciiTheme="minorEastAsia" w:eastAsiaTheme="minorEastAsia" w:hAnsiTheme="minorEastAsia"/>
          <w:bCs/>
          <w:sz w:val="24"/>
        </w:rPr>
        <w:t>,</w:t>
      </w:r>
      <w:r>
        <w:rPr>
          <w:rFonts w:asciiTheme="minorEastAsia" w:eastAsiaTheme="minorEastAsia" w:hAnsiTheme="minorEastAsia" w:hint="eastAsia"/>
          <w:bCs/>
          <w:sz w:val="24"/>
        </w:rPr>
        <w:t>910</w:t>
      </w:r>
      <w:r>
        <w:rPr>
          <w:rFonts w:asciiTheme="minorEastAsia" w:eastAsiaTheme="minorEastAsia" w:hAnsiTheme="minorEastAsia"/>
          <w:bCs/>
          <w:sz w:val="24"/>
        </w:rPr>
        <w:t>.</w:t>
      </w:r>
      <w:r>
        <w:rPr>
          <w:rFonts w:asciiTheme="minorEastAsia" w:eastAsiaTheme="minorEastAsia" w:hAnsiTheme="minorEastAsia" w:hint="eastAsia"/>
          <w:bCs/>
          <w:sz w:val="24"/>
        </w:rPr>
        <w:t>77万元；净利润179</w:t>
      </w:r>
      <w:r>
        <w:rPr>
          <w:rFonts w:asciiTheme="minorEastAsia" w:eastAsiaTheme="minorEastAsia" w:hAnsiTheme="minorEastAsia"/>
          <w:bCs/>
          <w:sz w:val="24"/>
        </w:rPr>
        <w:t>,</w:t>
      </w:r>
      <w:r>
        <w:rPr>
          <w:rFonts w:asciiTheme="minorEastAsia" w:eastAsiaTheme="minorEastAsia" w:hAnsiTheme="minorEastAsia" w:hint="eastAsia"/>
          <w:bCs/>
          <w:sz w:val="24"/>
        </w:rPr>
        <w:t>447</w:t>
      </w:r>
      <w:r>
        <w:rPr>
          <w:rFonts w:asciiTheme="minorEastAsia" w:eastAsiaTheme="minorEastAsia" w:hAnsiTheme="minorEastAsia"/>
          <w:bCs/>
          <w:sz w:val="24"/>
        </w:rPr>
        <w:t>.</w:t>
      </w:r>
      <w:r>
        <w:rPr>
          <w:rFonts w:asciiTheme="minorEastAsia" w:eastAsiaTheme="minorEastAsia" w:hAnsiTheme="minorEastAsia" w:hint="eastAsia"/>
          <w:bCs/>
          <w:sz w:val="24"/>
        </w:rPr>
        <w:t>02万元。</w:t>
      </w:r>
    </w:p>
    <w:p w:rsidR="004B6E96" w:rsidRDefault="00912F64" w:rsidP="00430A03">
      <w:pPr>
        <w:tabs>
          <w:tab w:val="left" w:pos="1200"/>
        </w:tabs>
        <w:adjustRightInd w:val="0"/>
        <w:snapToGrid w:val="0"/>
        <w:spacing w:line="360" w:lineRule="auto"/>
        <w:ind w:firstLineChars="200" w:firstLine="482"/>
        <w:rPr>
          <w:rFonts w:ascii="楷体" w:eastAsia="楷体" w:hAnsi="楷体" w:cs="楷体"/>
          <w:b/>
          <w:bCs/>
          <w:sz w:val="24"/>
        </w:rPr>
      </w:pPr>
      <w:r>
        <w:rPr>
          <w:rFonts w:ascii="楷体" w:eastAsia="楷体" w:hAnsi="楷体" w:cs="楷体" w:hint="eastAsia"/>
          <w:b/>
          <w:bCs/>
          <w:sz w:val="24"/>
        </w:rPr>
        <w:t>（二）与公司的关联关系</w:t>
      </w:r>
    </w:p>
    <w:p w:rsidR="004B6E96" w:rsidRDefault="00912F64" w:rsidP="00430A03">
      <w:pPr>
        <w:autoSpaceDE w:val="0"/>
        <w:autoSpaceDN w:val="0"/>
        <w:adjustRightInd w:val="0"/>
        <w:snapToGrid w:val="0"/>
        <w:spacing w:line="360" w:lineRule="auto"/>
        <w:ind w:firstLine="480"/>
        <w:rPr>
          <w:rFonts w:ascii="Times New Roman" w:hAnsi="Times New Roman"/>
          <w:bCs/>
          <w:kern w:val="0"/>
          <w:sz w:val="24"/>
        </w:rPr>
      </w:pPr>
      <w:r>
        <w:rPr>
          <w:rFonts w:ascii="Times New Roman" w:hAnsi="Times New Roman"/>
          <w:bCs/>
          <w:kern w:val="0"/>
          <w:sz w:val="24"/>
        </w:rPr>
        <w:t>永辉超市及其下属全资子公司合计持有本公司的股份占公司</w:t>
      </w:r>
      <w:r w:rsidR="00157C1D">
        <w:rPr>
          <w:rFonts w:ascii="Times New Roman" w:hAnsi="Times New Roman" w:hint="eastAsia"/>
          <w:bCs/>
          <w:kern w:val="0"/>
          <w:sz w:val="24"/>
        </w:rPr>
        <w:t>总股本</w:t>
      </w:r>
      <w:r>
        <w:rPr>
          <w:rFonts w:ascii="Times New Roman" w:hAnsi="Times New Roman"/>
          <w:bCs/>
          <w:kern w:val="0"/>
          <w:sz w:val="24"/>
        </w:rPr>
        <w:t>的</w:t>
      </w:r>
      <w:r>
        <w:rPr>
          <w:rFonts w:ascii="Times New Roman" w:hAnsi="Times New Roman" w:hint="eastAsia"/>
          <w:bCs/>
          <w:kern w:val="0"/>
          <w:sz w:val="24"/>
        </w:rPr>
        <w:t>29.86</w:t>
      </w:r>
      <w:r>
        <w:rPr>
          <w:rFonts w:ascii="Times New Roman" w:hAnsi="Times New Roman"/>
          <w:bCs/>
          <w:kern w:val="0"/>
          <w:sz w:val="24"/>
        </w:rPr>
        <w:t>%</w:t>
      </w:r>
      <w:r>
        <w:rPr>
          <w:rFonts w:ascii="Times New Roman" w:hAnsi="Times New Roman"/>
          <w:bCs/>
          <w:kern w:val="0"/>
          <w:sz w:val="24"/>
        </w:rPr>
        <w:t>，为公司关联法人。</w:t>
      </w:r>
    </w:p>
    <w:p w:rsidR="004B6E96" w:rsidRDefault="00912F64" w:rsidP="00430A03">
      <w:pPr>
        <w:tabs>
          <w:tab w:val="left" w:pos="1200"/>
        </w:tabs>
        <w:adjustRightInd w:val="0"/>
        <w:snapToGrid w:val="0"/>
        <w:spacing w:line="360" w:lineRule="auto"/>
        <w:ind w:firstLineChars="200" w:firstLine="482"/>
        <w:rPr>
          <w:rFonts w:ascii="楷体" w:eastAsia="楷体" w:hAnsi="楷体" w:cs="楷体"/>
          <w:b/>
          <w:bCs/>
          <w:sz w:val="24"/>
        </w:rPr>
      </w:pPr>
      <w:r>
        <w:rPr>
          <w:rFonts w:ascii="楷体" w:eastAsia="楷体" w:hAnsi="楷体" w:cs="楷体" w:hint="eastAsia"/>
          <w:b/>
          <w:bCs/>
          <w:sz w:val="24"/>
        </w:rPr>
        <w:t>（三）履约能力分析</w:t>
      </w:r>
    </w:p>
    <w:p w:rsidR="004B6E96" w:rsidRDefault="00912F64" w:rsidP="00430A03">
      <w:pPr>
        <w:autoSpaceDE w:val="0"/>
        <w:autoSpaceDN w:val="0"/>
        <w:adjustRightInd w:val="0"/>
        <w:snapToGrid w:val="0"/>
        <w:spacing w:line="360" w:lineRule="auto"/>
        <w:ind w:firstLine="480"/>
        <w:jc w:val="left"/>
        <w:rPr>
          <w:rFonts w:ascii="Times New Roman" w:hAnsi="Times New Roman"/>
          <w:bCs/>
          <w:kern w:val="0"/>
          <w:sz w:val="24"/>
        </w:rPr>
      </w:pPr>
      <w:r>
        <w:rPr>
          <w:rFonts w:ascii="Times New Roman" w:hAnsi="Times New Roman"/>
          <w:bCs/>
          <w:kern w:val="0"/>
          <w:sz w:val="24"/>
        </w:rPr>
        <w:t>永辉超市及其下属控股子公司为依法存续且经营正常的公司，财务状况良好，经营稳健、收入较稳定，履约能力较好。</w:t>
      </w:r>
    </w:p>
    <w:p w:rsidR="004B6E96" w:rsidRDefault="00912F64" w:rsidP="00430A03">
      <w:pPr>
        <w:pStyle w:val="Default"/>
        <w:snapToGrid w:val="0"/>
        <w:spacing w:line="360" w:lineRule="auto"/>
        <w:ind w:firstLineChars="245" w:firstLine="588"/>
        <w:rPr>
          <w:rFonts w:cs="黑体"/>
          <w:bCs/>
        </w:rPr>
      </w:pPr>
      <w:r>
        <w:rPr>
          <w:rFonts w:cs="黑体" w:hint="eastAsia"/>
          <w:bCs/>
        </w:rPr>
        <w:t xml:space="preserve">三、关联交易的主要内容 </w:t>
      </w:r>
    </w:p>
    <w:p w:rsidR="004B6E96" w:rsidRDefault="00912F64" w:rsidP="00430A03">
      <w:pPr>
        <w:autoSpaceDE w:val="0"/>
        <w:autoSpaceDN w:val="0"/>
        <w:adjustRightInd w:val="0"/>
        <w:snapToGrid w:val="0"/>
        <w:spacing w:line="360" w:lineRule="auto"/>
        <w:ind w:firstLineChars="199" w:firstLine="479"/>
        <w:jc w:val="left"/>
        <w:rPr>
          <w:rFonts w:ascii="楷体" w:eastAsia="楷体" w:hAnsi="楷体"/>
          <w:b/>
          <w:bCs/>
          <w:sz w:val="24"/>
          <w:szCs w:val="24"/>
        </w:rPr>
      </w:pPr>
      <w:r>
        <w:rPr>
          <w:rFonts w:ascii="楷体" w:eastAsia="楷体" w:hAnsi="楷体"/>
          <w:b/>
          <w:bCs/>
          <w:sz w:val="24"/>
          <w:szCs w:val="24"/>
        </w:rPr>
        <w:t>（一）交易主体：</w:t>
      </w:r>
    </w:p>
    <w:p w:rsidR="004B6E96" w:rsidRDefault="00912F64" w:rsidP="00430A03">
      <w:pPr>
        <w:autoSpaceDE w:val="0"/>
        <w:autoSpaceDN w:val="0"/>
        <w:adjustRightInd w:val="0"/>
        <w:snapToGrid w:val="0"/>
        <w:spacing w:line="360" w:lineRule="auto"/>
        <w:ind w:firstLineChars="199" w:firstLine="478"/>
        <w:jc w:val="left"/>
        <w:rPr>
          <w:rFonts w:asciiTheme="minorEastAsia" w:eastAsiaTheme="minorEastAsia" w:hAnsiTheme="minorEastAsia"/>
          <w:bCs/>
          <w:sz w:val="24"/>
          <w:szCs w:val="24"/>
        </w:rPr>
      </w:pPr>
      <w:r>
        <w:rPr>
          <w:rFonts w:ascii="Times New Roman" w:eastAsiaTheme="minorEastAsia"/>
          <w:bCs/>
          <w:sz w:val="24"/>
          <w:szCs w:val="24"/>
        </w:rPr>
        <w:t>本公司及下属</w:t>
      </w:r>
      <w:r>
        <w:rPr>
          <w:rFonts w:ascii="Times New Roman" w:eastAsiaTheme="minorEastAsia" w:hint="eastAsia"/>
          <w:bCs/>
          <w:sz w:val="24"/>
          <w:szCs w:val="24"/>
        </w:rPr>
        <w:t>全资或</w:t>
      </w:r>
      <w:r>
        <w:rPr>
          <w:rFonts w:ascii="Times New Roman" w:eastAsiaTheme="minorEastAsia"/>
          <w:bCs/>
          <w:sz w:val="24"/>
          <w:szCs w:val="24"/>
        </w:rPr>
        <w:t>控股公司、永辉超市下属控股公司。</w:t>
      </w:r>
      <w:r>
        <w:rPr>
          <w:rFonts w:asciiTheme="minorEastAsia" w:eastAsiaTheme="minorEastAsia" w:hAnsiTheme="minorEastAsia"/>
          <w:bCs/>
          <w:sz w:val="24"/>
          <w:szCs w:val="24"/>
        </w:rPr>
        <w:t>与公司进行日常关联交易的永辉超市下属控股企业</w:t>
      </w:r>
      <w:r>
        <w:rPr>
          <w:rFonts w:asciiTheme="minorEastAsia" w:eastAsiaTheme="minorEastAsia" w:hAnsiTheme="minorEastAsia" w:hint="eastAsia"/>
          <w:bCs/>
          <w:sz w:val="24"/>
          <w:szCs w:val="24"/>
        </w:rPr>
        <w:t>有</w:t>
      </w:r>
      <w:r>
        <w:rPr>
          <w:rFonts w:asciiTheme="minorEastAsia" w:eastAsiaTheme="minorEastAsia" w:hAnsiTheme="minorEastAsia"/>
          <w:bCs/>
          <w:sz w:val="24"/>
          <w:szCs w:val="24"/>
        </w:rPr>
        <w:t>：重庆永辉超市有限公司、福建永辉现代农业发展有限公司、永辉物流有限公司</w:t>
      </w:r>
      <w:r>
        <w:rPr>
          <w:rFonts w:asciiTheme="minorEastAsia" w:eastAsiaTheme="minorEastAsia" w:hAnsiTheme="minorEastAsia" w:hint="eastAsia"/>
          <w:bCs/>
          <w:sz w:val="24"/>
          <w:szCs w:val="24"/>
        </w:rPr>
        <w:t>等</w:t>
      </w:r>
      <w:r>
        <w:rPr>
          <w:rFonts w:asciiTheme="minorEastAsia" w:eastAsiaTheme="minorEastAsia" w:hAnsiTheme="minorEastAsia"/>
          <w:bCs/>
          <w:sz w:val="24"/>
          <w:szCs w:val="24"/>
        </w:rPr>
        <w:t>。</w:t>
      </w:r>
    </w:p>
    <w:p w:rsidR="004B6E96" w:rsidRDefault="00912F64" w:rsidP="00430A03">
      <w:pPr>
        <w:autoSpaceDE w:val="0"/>
        <w:autoSpaceDN w:val="0"/>
        <w:adjustRightInd w:val="0"/>
        <w:snapToGrid w:val="0"/>
        <w:spacing w:line="360" w:lineRule="auto"/>
        <w:ind w:firstLineChars="200" w:firstLine="482"/>
        <w:jc w:val="left"/>
        <w:rPr>
          <w:rFonts w:ascii="楷体" w:eastAsia="楷体" w:hAnsi="楷体"/>
          <w:b/>
          <w:bCs/>
          <w:kern w:val="0"/>
          <w:sz w:val="24"/>
        </w:rPr>
      </w:pPr>
      <w:r>
        <w:rPr>
          <w:rFonts w:ascii="楷体" w:eastAsia="楷体" w:hAnsi="楷体"/>
          <w:b/>
          <w:bCs/>
          <w:kern w:val="0"/>
          <w:sz w:val="24"/>
        </w:rPr>
        <w:t>（二）交易范围：</w:t>
      </w:r>
    </w:p>
    <w:p w:rsidR="004B6E96" w:rsidRDefault="00912F64" w:rsidP="00430A03">
      <w:pPr>
        <w:autoSpaceDE w:val="0"/>
        <w:autoSpaceDN w:val="0"/>
        <w:adjustRightInd w:val="0"/>
        <w:snapToGrid w:val="0"/>
        <w:spacing w:line="360" w:lineRule="auto"/>
        <w:ind w:firstLineChars="200" w:firstLine="480"/>
        <w:jc w:val="left"/>
        <w:rPr>
          <w:rFonts w:ascii="Times New Roman" w:hAnsi="Times New Roman"/>
          <w:bCs/>
          <w:kern w:val="0"/>
          <w:sz w:val="24"/>
        </w:rPr>
      </w:pPr>
      <w:r>
        <w:rPr>
          <w:rFonts w:ascii="Times New Roman" w:hAnsi="Times New Roman"/>
          <w:bCs/>
          <w:color w:val="000000"/>
          <w:sz w:val="24"/>
        </w:rPr>
        <w:t>包括生鲜、酒水饮料、休闲食品、干性杂货、冷冻冷藏、清洁用品、家庭用品、文体家电与纺织用品、服装等品类商品的采购</w:t>
      </w:r>
      <w:r>
        <w:rPr>
          <w:rFonts w:ascii="Times New Roman" w:hAnsi="Times New Roman"/>
          <w:bCs/>
          <w:kern w:val="0"/>
          <w:sz w:val="24"/>
        </w:rPr>
        <w:t>。</w:t>
      </w:r>
    </w:p>
    <w:p w:rsidR="004B6E96" w:rsidRDefault="00912F64" w:rsidP="00430A03">
      <w:pPr>
        <w:adjustRightInd w:val="0"/>
        <w:snapToGrid w:val="0"/>
        <w:spacing w:line="360" w:lineRule="auto"/>
        <w:ind w:firstLine="480"/>
        <w:rPr>
          <w:rFonts w:ascii="楷体" w:eastAsia="楷体" w:hAnsi="楷体"/>
          <w:b/>
          <w:bCs/>
          <w:kern w:val="0"/>
          <w:sz w:val="24"/>
        </w:rPr>
      </w:pPr>
      <w:r>
        <w:rPr>
          <w:rFonts w:ascii="楷体" w:eastAsia="楷体" w:hAnsi="楷体"/>
          <w:b/>
          <w:bCs/>
          <w:kern w:val="0"/>
          <w:sz w:val="24"/>
        </w:rPr>
        <w:t>（三）定价原则和交易方式</w:t>
      </w:r>
    </w:p>
    <w:p w:rsidR="004B6E96" w:rsidRDefault="00912F64" w:rsidP="00430A03">
      <w:pPr>
        <w:adjustRightInd w:val="0"/>
        <w:snapToGrid w:val="0"/>
        <w:spacing w:line="360" w:lineRule="auto"/>
        <w:ind w:firstLine="480"/>
        <w:rPr>
          <w:rFonts w:ascii="Times New Roman" w:hAnsi="Times New Roman"/>
          <w:bCs/>
          <w:sz w:val="24"/>
        </w:rPr>
      </w:pPr>
      <w:r>
        <w:rPr>
          <w:rFonts w:ascii="Times New Roman" w:hAnsi="Times New Roman"/>
          <w:bCs/>
          <w:kern w:val="0"/>
          <w:sz w:val="24"/>
        </w:rPr>
        <w:t>本协议项下交易根据市场原则定价，</w:t>
      </w:r>
      <w:r>
        <w:rPr>
          <w:rFonts w:ascii="Times New Roman" w:hAnsi="Times New Roman"/>
          <w:bCs/>
          <w:sz w:val="24"/>
        </w:rPr>
        <w:t>各项交易的具体结算方式、付款时间等依双方及下属企业另行签署的协议执行。</w:t>
      </w:r>
    </w:p>
    <w:p w:rsidR="004B6E96" w:rsidRDefault="00912F64" w:rsidP="00430A03">
      <w:pPr>
        <w:adjustRightInd w:val="0"/>
        <w:snapToGrid w:val="0"/>
        <w:spacing w:line="360" w:lineRule="auto"/>
        <w:ind w:firstLine="480"/>
        <w:rPr>
          <w:rFonts w:ascii="楷体" w:eastAsia="楷体" w:hAnsi="楷体"/>
          <w:b/>
          <w:bCs/>
          <w:kern w:val="0"/>
          <w:sz w:val="24"/>
        </w:rPr>
      </w:pPr>
      <w:r>
        <w:rPr>
          <w:rFonts w:ascii="楷体" w:eastAsia="楷体" w:hAnsi="楷体"/>
          <w:b/>
          <w:bCs/>
          <w:sz w:val="24"/>
        </w:rPr>
        <w:t>（四）交易限制</w:t>
      </w:r>
    </w:p>
    <w:p w:rsidR="004B6E96" w:rsidRDefault="00912F64" w:rsidP="00430A03">
      <w:pPr>
        <w:autoSpaceDE w:val="0"/>
        <w:autoSpaceDN w:val="0"/>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1．双方交易应</w:t>
      </w:r>
      <w:r>
        <w:rPr>
          <w:rFonts w:ascii="宋体" w:hAnsi="宋体" w:cs="宋体" w:hint="eastAsia"/>
          <w:bCs/>
          <w:color w:val="000000"/>
          <w:kern w:val="0"/>
          <w:sz w:val="24"/>
        </w:rPr>
        <w:t>遵循“互惠共赢、共同发展”的原则；</w:t>
      </w:r>
    </w:p>
    <w:p w:rsidR="004B6E96" w:rsidRDefault="00912F64" w:rsidP="00430A03">
      <w:pPr>
        <w:tabs>
          <w:tab w:val="left" w:pos="1200"/>
        </w:tabs>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2．本协议项下关联交易限额为不超过人民币1.21亿元/年。</w:t>
      </w:r>
    </w:p>
    <w:p w:rsidR="004B6E96" w:rsidRDefault="00912F64" w:rsidP="00430A03">
      <w:pPr>
        <w:adjustRightInd w:val="0"/>
        <w:snapToGrid w:val="0"/>
        <w:spacing w:line="360" w:lineRule="auto"/>
        <w:ind w:firstLine="480"/>
        <w:rPr>
          <w:rFonts w:ascii="黑体" w:eastAsia="黑体" w:hAnsi="黑体"/>
          <w:bCs/>
          <w:sz w:val="24"/>
        </w:rPr>
      </w:pPr>
      <w:r>
        <w:rPr>
          <w:rFonts w:ascii="黑体" w:eastAsia="黑体" w:hAnsi="黑体"/>
          <w:bCs/>
          <w:sz w:val="24"/>
        </w:rPr>
        <w:t>四、关联交易目的和对上市公司的影响</w:t>
      </w:r>
    </w:p>
    <w:p w:rsidR="004B6E96" w:rsidRDefault="00912F64" w:rsidP="00430A03">
      <w:pPr>
        <w:autoSpaceDE w:val="0"/>
        <w:autoSpaceDN w:val="0"/>
        <w:adjustRightInd w:val="0"/>
        <w:snapToGrid w:val="0"/>
        <w:spacing w:line="360" w:lineRule="auto"/>
        <w:ind w:firstLine="480"/>
        <w:jc w:val="left"/>
        <w:rPr>
          <w:rFonts w:ascii="Times New Roman" w:eastAsiaTheme="majorEastAsia" w:hAnsi="Times New Roman"/>
          <w:bCs/>
          <w:sz w:val="24"/>
        </w:rPr>
      </w:pPr>
      <w:r>
        <w:rPr>
          <w:rFonts w:ascii="Times New Roman" w:eastAsiaTheme="majorEastAsia" w:hAnsi="Times New Roman"/>
          <w:bCs/>
          <w:sz w:val="24"/>
        </w:rPr>
        <w:t>2014</w:t>
      </w:r>
      <w:r>
        <w:rPr>
          <w:rFonts w:ascii="Times New Roman" w:eastAsiaTheme="majorEastAsia" w:hAnsi="Times New Roman"/>
          <w:bCs/>
          <w:sz w:val="24"/>
        </w:rPr>
        <w:t>年</w:t>
      </w:r>
      <w:r>
        <w:rPr>
          <w:rFonts w:ascii="Times New Roman" w:eastAsiaTheme="majorEastAsia" w:hAnsi="Times New Roman"/>
          <w:bCs/>
          <w:sz w:val="24"/>
        </w:rPr>
        <w:t>10</w:t>
      </w:r>
      <w:r>
        <w:rPr>
          <w:rFonts w:ascii="Times New Roman" w:eastAsiaTheme="majorEastAsia" w:hAnsi="Times New Roman"/>
          <w:bCs/>
          <w:sz w:val="24"/>
        </w:rPr>
        <w:t>月</w:t>
      </w:r>
      <w:r>
        <w:rPr>
          <w:rFonts w:ascii="Times New Roman" w:eastAsiaTheme="majorEastAsia" w:hAnsi="Times New Roman"/>
          <w:bCs/>
          <w:sz w:val="24"/>
        </w:rPr>
        <w:t>10</w:t>
      </w:r>
      <w:r>
        <w:rPr>
          <w:rFonts w:ascii="Times New Roman" w:eastAsiaTheme="majorEastAsia" w:hAnsi="Times New Roman"/>
          <w:bCs/>
          <w:sz w:val="24"/>
        </w:rPr>
        <w:t>日，公司与永辉超市签订了《战略合作框架协议》，两家公司本着强强联合、互惠共赢的原则，拟在资源、网络、信息、物流等方面进行战略合作，共同做强做大核心主业。</w:t>
      </w:r>
    </w:p>
    <w:p w:rsidR="004B6E96" w:rsidRDefault="00912F64" w:rsidP="00430A03">
      <w:pPr>
        <w:autoSpaceDE w:val="0"/>
        <w:autoSpaceDN w:val="0"/>
        <w:adjustRightInd w:val="0"/>
        <w:snapToGrid w:val="0"/>
        <w:spacing w:line="360" w:lineRule="auto"/>
        <w:ind w:firstLine="480"/>
        <w:jc w:val="left"/>
        <w:rPr>
          <w:rFonts w:ascii="Times New Roman" w:eastAsiaTheme="majorEastAsia" w:hAnsi="Times New Roman"/>
          <w:bCs/>
          <w:sz w:val="24"/>
        </w:rPr>
      </w:pPr>
      <w:r>
        <w:rPr>
          <w:rFonts w:ascii="Times New Roman" w:hAnsi="Times New Roman"/>
          <w:bCs/>
          <w:sz w:val="24"/>
        </w:rPr>
        <w:t>为实现资源共享，</w:t>
      </w:r>
      <w:r>
        <w:rPr>
          <w:rFonts w:ascii="Times New Roman" w:hAnsi="Times New Roman"/>
          <w:bCs/>
          <w:color w:val="000000"/>
          <w:sz w:val="24"/>
        </w:rPr>
        <w:t>公司与永辉</w:t>
      </w:r>
      <w:r>
        <w:rPr>
          <w:rFonts w:ascii="Times New Roman" w:hAnsi="Times New Roman" w:hint="eastAsia"/>
          <w:bCs/>
          <w:sz w:val="24"/>
        </w:rPr>
        <w:t>超市开展</w:t>
      </w:r>
      <w:r>
        <w:rPr>
          <w:rFonts w:ascii="Times New Roman" w:hAnsi="Times New Roman"/>
          <w:bCs/>
          <w:sz w:val="24"/>
        </w:rPr>
        <w:t>商品采购</w:t>
      </w:r>
      <w:r>
        <w:rPr>
          <w:rFonts w:ascii="Times New Roman" w:hAnsi="Times New Roman" w:hint="eastAsia"/>
          <w:bCs/>
          <w:sz w:val="24"/>
        </w:rPr>
        <w:t>和</w:t>
      </w:r>
      <w:r>
        <w:rPr>
          <w:rFonts w:ascii="Times New Roman" w:hAnsi="Times New Roman"/>
          <w:bCs/>
          <w:sz w:val="24"/>
        </w:rPr>
        <w:t>合作经营的日常关联交易</w:t>
      </w:r>
      <w:r>
        <w:rPr>
          <w:rFonts w:ascii="Times New Roman" w:hAnsi="Times New Roman"/>
          <w:bCs/>
          <w:kern w:val="0"/>
          <w:sz w:val="24"/>
        </w:rPr>
        <w:t>。</w:t>
      </w:r>
      <w:r>
        <w:rPr>
          <w:rFonts w:ascii="Times New Roman" w:hAnsi="Times New Roman"/>
          <w:bCs/>
          <w:sz w:val="24"/>
        </w:rPr>
        <w:lastRenderedPageBreak/>
        <w:t>该项交易有利于发挥两家公司的协同效</w:t>
      </w:r>
      <w:r>
        <w:rPr>
          <w:rFonts w:ascii="Times New Roman" w:eastAsiaTheme="majorEastAsia" w:hAnsi="Times New Roman"/>
          <w:bCs/>
          <w:sz w:val="24"/>
        </w:rPr>
        <w:t>应，提升商品议价和运营管理能力，促进公司业务发展，满足股东利益最大化的要求，不存在损害中小股东利益的情形。</w:t>
      </w:r>
    </w:p>
    <w:p w:rsidR="004B6E96" w:rsidRPr="00430A03" w:rsidRDefault="00912F64" w:rsidP="00430A03">
      <w:pPr>
        <w:pStyle w:val="Default"/>
        <w:snapToGrid w:val="0"/>
        <w:spacing w:line="360" w:lineRule="auto"/>
        <w:ind w:firstLineChars="245" w:firstLine="588"/>
        <w:rPr>
          <w:rFonts w:cs="黑体"/>
          <w:bCs/>
        </w:rPr>
      </w:pPr>
      <w:r w:rsidRPr="00430A03">
        <w:rPr>
          <w:rFonts w:cs="黑体"/>
          <w:bCs/>
        </w:rPr>
        <w:t xml:space="preserve">五、独立董事意见 </w:t>
      </w:r>
    </w:p>
    <w:p w:rsidR="004B6E96" w:rsidRDefault="00912F64" w:rsidP="00430A03">
      <w:pPr>
        <w:autoSpaceDE w:val="0"/>
        <w:autoSpaceDN w:val="0"/>
        <w:adjustRightInd w:val="0"/>
        <w:snapToGrid w:val="0"/>
        <w:spacing w:line="360" w:lineRule="auto"/>
        <w:ind w:firstLine="480"/>
        <w:jc w:val="left"/>
        <w:rPr>
          <w:rFonts w:ascii="Times New Roman" w:hAnsi="Times New Roman"/>
          <w:bCs/>
          <w:sz w:val="24"/>
        </w:rPr>
      </w:pPr>
      <w:r>
        <w:rPr>
          <w:rFonts w:ascii="Times New Roman" w:hAnsi="Times New Roman"/>
          <w:bCs/>
          <w:sz w:val="24"/>
        </w:rPr>
        <w:t>公司独立董事对上述日常关联交易事项进行了事前认可：</w:t>
      </w:r>
    </w:p>
    <w:p w:rsidR="004B6E96" w:rsidRDefault="00912F64" w:rsidP="00430A03">
      <w:pPr>
        <w:autoSpaceDE w:val="0"/>
        <w:autoSpaceDN w:val="0"/>
        <w:adjustRightInd w:val="0"/>
        <w:snapToGrid w:val="0"/>
        <w:spacing w:line="360" w:lineRule="auto"/>
        <w:ind w:firstLine="480"/>
        <w:jc w:val="left"/>
        <w:rPr>
          <w:rFonts w:ascii="Times New Roman" w:eastAsiaTheme="majorEastAsia" w:hAnsi="Times New Roman"/>
          <w:bCs/>
          <w:sz w:val="24"/>
        </w:rPr>
      </w:pPr>
      <w:r>
        <w:rPr>
          <w:rFonts w:asciiTheme="minorEastAsia" w:eastAsiaTheme="minorEastAsia" w:hAnsiTheme="minorEastAsia"/>
          <w:color w:val="000000"/>
          <w:kern w:val="0"/>
          <w:sz w:val="24"/>
        </w:rPr>
        <w:t>我们事前审阅了《关于</w:t>
      </w:r>
      <w:r>
        <w:rPr>
          <w:rFonts w:asciiTheme="minorEastAsia" w:eastAsiaTheme="minorEastAsia" w:hAnsiTheme="minorEastAsia" w:hint="eastAsia"/>
          <w:color w:val="000000"/>
          <w:kern w:val="0"/>
          <w:sz w:val="24"/>
        </w:rPr>
        <w:t>预计</w:t>
      </w:r>
      <w:r>
        <w:rPr>
          <w:rFonts w:asciiTheme="minorEastAsia" w:eastAsiaTheme="minorEastAsia" w:hAnsiTheme="minorEastAsia"/>
          <w:color w:val="000000"/>
          <w:kern w:val="0"/>
          <w:sz w:val="24"/>
        </w:rPr>
        <w:t>202</w:t>
      </w:r>
      <w:r>
        <w:rPr>
          <w:rFonts w:asciiTheme="minorEastAsia" w:eastAsiaTheme="minorEastAsia" w:hAnsiTheme="minorEastAsia" w:hint="eastAsia"/>
          <w:color w:val="000000"/>
          <w:kern w:val="0"/>
          <w:sz w:val="24"/>
        </w:rPr>
        <w:t>2</w:t>
      </w:r>
      <w:r>
        <w:rPr>
          <w:rFonts w:asciiTheme="minorEastAsia" w:eastAsiaTheme="minorEastAsia" w:hAnsiTheme="minorEastAsia"/>
          <w:color w:val="000000"/>
          <w:kern w:val="0"/>
          <w:sz w:val="24"/>
        </w:rPr>
        <w:t>年日常关联交易</w:t>
      </w:r>
      <w:r>
        <w:rPr>
          <w:rFonts w:asciiTheme="minorEastAsia" w:eastAsiaTheme="minorEastAsia" w:hAnsiTheme="minorEastAsia" w:hint="eastAsia"/>
          <w:color w:val="000000"/>
          <w:kern w:val="0"/>
          <w:sz w:val="24"/>
        </w:rPr>
        <w:t>的</w:t>
      </w:r>
      <w:r>
        <w:rPr>
          <w:rFonts w:asciiTheme="minorEastAsia" w:eastAsiaTheme="minorEastAsia" w:hAnsiTheme="minorEastAsia"/>
          <w:color w:val="000000"/>
          <w:kern w:val="0"/>
          <w:sz w:val="24"/>
        </w:rPr>
        <w:t>议案》及相关材料，认为本次预计</w:t>
      </w:r>
      <w:r>
        <w:rPr>
          <w:rFonts w:asciiTheme="minorEastAsia" w:eastAsiaTheme="minorEastAsia" w:hAnsiTheme="minorEastAsia" w:hint="eastAsia"/>
          <w:color w:val="000000"/>
          <w:kern w:val="0"/>
          <w:sz w:val="24"/>
        </w:rPr>
        <w:t>2022年日常关联交易</w:t>
      </w:r>
      <w:r>
        <w:rPr>
          <w:rFonts w:asciiTheme="minorEastAsia" w:eastAsiaTheme="minorEastAsia" w:hAnsiTheme="minorEastAsia"/>
          <w:color w:val="000000"/>
          <w:kern w:val="0"/>
          <w:sz w:val="24"/>
        </w:rPr>
        <w:t>的事项对公司正常经营活动及财务状况不会造成重大影响，符合国家有关法律、法规和政策的规定，不存在损害公司、股东，特别是中小股东利益的情形</w:t>
      </w:r>
      <w:r>
        <w:rPr>
          <w:rFonts w:asciiTheme="minorEastAsia" w:eastAsiaTheme="minorEastAsia" w:hAnsiTheme="minorEastAsia" w:hint="eastAsia"/>
          <w:color w:val="000000"/>
          <w:kern w:val="0"/>
          <w:sz w:val="24"/>
        </w:rPr>
        <w:t>。</w:t>
      </w:r>
      <w:r>
        <w:rPr>
          <w:rFonts w:asciiTheme="minorEastAsia" w:eastAsiaTheme="minorEastAsia" w:hAnsiTheme="minorEastAsia"/>
          <w:sz w:val="24"/>
        </w:rPr>
        <w:t>本次关联交易有利于发挥中百集团</w:t>
      </w:r>
      <w:r>
        <w:rPr>
          <w:rFonts w:asciiTheme="minorEastAsia" w:eastAsiaTheme="minorEastAsia" w:hAnsiTheme="minorEastAsia" w:hint="eastAsia"/>
          <w:sz w:val="24"/>
        </w:rPr>
        <w:t>和</w:t>
      </w:r>
      <w:r>
        <w:rPr>
          <w:rFonts w:asciiTheme="minorEastAsia" w:eastAsiaTheme="minorEastAsia" w:hAnsiTheme="minorEastAsia"/>
          <w:sz w:val="24"/>
        </w:rPr>
        <w:t>永辉超市两家公司的协同效应，促进公司</w:t>
      </w:r>
      <w:r>
        <w:rPr>
          <w:rFonts w:asciiTheme="minorEastAsia" w:eastAsiaTheme="minorEastAsia" w:hAnsiTheme="minorEastAsia"/>
          <w:kern w:val="0"/>
          <w:sz w:val="24"/>
        </w:rPr>
        <w:t>业务发展，满足股东利益最大化的要求。</w:t>
      </w:r>
      <w:r>
        <w:rPr>
          <w:rFonts w:asciiTheme="minorEastAsia" w:eastAsiaTheme="minorEastAsia" w:hAnsiTheme="minorEastAsia"/>
          <w:color w:val="000000"/>
          <w:kern w:val="0"/>
          <w:sz w:val="24"/>
        </w:rPr>
        <w:t>同意将《</w:t>
      </w:r>
      <w:r>
        <w:rPr>
          <w:rFonts w:asciiTheme="minorEastAsia" w:eastAsiaTheme="minorEastAsia" w:hAnsiTheme="minorEastAsia"/>
          <w:sz w:val="24"/>
        </w:rPr>
        <w:t>关于预计20</w:t>
      </w:r>
      <w:r>
        <w:rPr>
          <w:rFonts w:asciiTheme="minorEastAsia" w:eastAsiaTheme="minorEastAsia" w:hAnsiTheme="minorEastAsia" w:hint="eastAsia"/>
          <w:sz w:val="24"/>
        </w:rPr>
        <w:t>22</w:t>
      </w:r>
      <w:r>
        <w:rPr>
          <w:rFonts w:asciiTheme="minorEastAsia" w:eastAsiaTheme="minorEastAsia" w:hAnsiTheme="minorEastAsia"/>
          <w:sz w:val="24"/>
        </w:rPr>
        <w:t>年日常关联交易的</w:t>
      </w:r>
      <w:r>
        <w:rPr>
          <w:rFonts w:asciiTheme="minorEastAsia" w:eastAsiaTheme="minorEastAsia" w:hAnsiTheme="minorEastAsia"/>
          <w:color w:val="000000"/>
          <w:kern w:val="0"/>
          <w:sz w:val="24"/>
        </w:rPr>
        <w:t>议案》提交公司董事会审议表决，关联董事应回避表决。</w:t>
      </w:r>
    </w:p>
    <w:p w:rsidR="004B6E96" w:rsidRDefault="00912F64" w:rsidP="00430A03">
      <w:pPr>
        <w:autoSpaceDE w:val="0"/>
        <w:autoSpaceDN w:val="0"/>
        <w:adjustRightInd w:val="0"/>
        <w:snapToGrid w:val="0"/>
        <w:spacing w:line="360" w:lineRule="auto"/>
        <w:ind w:firstLine="480"/>
        <w:jc w:val="left"/>
        <w:rPr>
          <w:rFonts w:ascii="Times New Roman" w:eastAsiaTheme="majorEastAsia" w:hAnsi="Times New Roman"/>
          <w:bCs/>
          <w:sz w:val="24"/>
        </w:rPr>
      </w:pPr>
      <w:r>
        <w:rPr>
          <w:rFonts w:ascii="Times New Roman" w:hAnsi="Times New Roman"/>
          <w:bCs/>
          <w:sz w:val="24"/>
        </w:rPr>
        <w:t>公司独立董事对上述日常关联交易事项发表了独立意见：</w:t>
      </w:r>
    </w:p>
    <w:p w:rsidR="004B6E96" w:rsidRDefault="00912F64" w:rsidP="00430A03">
      <w:pPr>
        <w:pStyle w:val="a5"/>
        <w:adjustRightInd w:val="0"/>
        <w:snapToGrid w:val="0"/>
        <w:spacing w:after="0" w:line="360" w:lineRule="auto"/>
        <w:ind w:leftChars="0" w:left="0"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经核查，公司提交董事会审议的《关于预计2022年日常关联交易的议案》符合《公司法》《股票上市规则》等法律法规以及《公司章程》的规定，公司2022年度日常关联交易是生产经营过程中的正常业务往来，公司与永辉超市开展商品联合采购与经营合作，有利于公司业务发展。公司董事会审议表决此议案时，关联董事孙昊女士回避表决，程序合法。关联交易事项公平、公开、公正，不存在损害公司和全体股东特别是中小股东利益的行为，我们同意公司2022 年度日常关联交易预计事项，并提交公司股东大会予以审议。</w:t>
      </w:r>
      <w:bookmarkStart w:id="0" w:name="_GoBack"/>
      <w:bookmarkEnd w:id="0"/>
    </w:p>
    <w:p w:rsidR="004B6E96" w:rsidRDefault="00912F64" w:rsidP="00430A03">
      <w:pPr>
        <w:autoSpaceDE w:val="0"/>
        <w:autoSpaceDN w:val="0"/>
        <w:adjustRightInd w:val="0"/>
        <w:snapToGrid w:val="0"/>
        <w:spacing w:line="360" w:lineRule="auto"/>
        <w:ind w:firstLine="480"/>
        <w:jc w:val="left"/>
        <w:rPr>
          <w:rFonts w:ascii="Times New Roman" w:eastAsiaTheme="majorEastAsia" w:hAnsi="Times New Roman"/>
          <w:bCs/>
          <w:sz w:val="24"/>
        </w:rPr>
      </w:pPr>
      <w:r>
        <w:rPr>
          <w:rFonts w:ascii="黑体" w:eastAsia="黑体" w:hAnsi="黑体"/>
          <w:bCs/>
          <w:sz w:val="24"/>
        </w:rPr>
        <w:t>六、备查文件</w:t>
      </w:r>
    </w:p>
    <w:p w:rsidR="004B6E96" w:rsidRDefault="00912F64" w:rsidP="00430A03">
      <w:pPr>
        <w:autoSpaceDE w:val="0"/>
        <w:autoSpaceDN w:val="0"/>
        <w:adjustRightInd w:val="0"/>
        <w:snapToGrid w:val="0"/>
        <w:spacing w:line="360" w:lineRule="auto"/>
        <w:ind w:firstLine="480"/>
        <w:jc w:val="left"/>
        <w:rPr>
          <w:rFonts w:ascii="Times New Roman" w:eastAsiaTheme="majorEastAsia" w:hAnsi="Times New Roman"/>
          <w:bCs/>
          <w:sz w:val="24"/>
        </w:rPr>
      </w:pPr>
      <w:r>
        <w:rPr>
          <w:rFonts w:ascii="Times New Roman" w:hAnsi="Times New Roman"/>
          <w:bCs/>
          <w:sz w:val="24"/>
        </w:rPr>
        <w:t>（一）公司第</w:t>
      </w:r>
      <w:r>
        <w:rPr>
          <w:rFonts w:ascii="Times New Roman" w:hAnsi="Times New Roman" w:hint="eastAsia"/>
          <w:bCs/>
          <w:sz w:val="24"/>
        </w:rPr>
        <w:t>十</w:t>
      </w:r>
      <w:r>
        <w:rPr>
          <w:rFonts w:ascii="Times New Roman" w:hAnsi="Times New Roman"/>
          <w:bCs/>
          <w:sz w:val="24"/>
        </w:rPr>
        <w:t>届董事会第</w:t>
      </w:r>
      <w:r>
        <w:rPr>
          <w:rFonts w:ascii="Times New Roman" w:hAnsi="Times New Roman" w:hint="eastAsia"/>
          <w:bCs/>
          <w:sz w:val="24"/>
        </w:rPr>
        <w:t>九</w:t>
      </w:r>
      <w:r>
        <w:rPr>
          <w:rFonts w:ascii="Times New Roman" w:hAnsi="Times New Roman"/>
          <w:bCs/>
          <w:sz w:val="24"/>
        </w:rPr>
        <w:t>次会议决议。</w:t>
      </w:r>
    </w:p>
    <w:p w:rsidR="004B6E96" w:rsidRDefault="00912F64" w:rsidP="00430A03">
      <w:pPr>
        <w:autoSpaceDE w:val="0"/>
        <w:autoSpaceDN w:val="0"/>
        <w:adjustRightInd w:val="0"/>
        <w:snapToGrid w:val="0"/>
        <w:spacing w:line="360" w:lineRule="auto"/>
        <w:ind w:firstLine="480"/>
        <w:jc w:val="left"/>
        <w:rPr>
          <w:rFonts w:ascii="Times New Roman" w:eastAsiaTheme="majorEastAsia" w:hAnsi="Times New Roman"/>
          <w:bCs/>
          <w:sz w:val="24"/>
        </w:rPr>
      </w:pPr>
      <w:r>
        <w:rPr>
          <w:rFonts w:ascii="Times New Roman" w:hAnsi="Times New Roman"/>
          <w:bCs/>
          <w:sz w:val="24"/>
        </w:rPr>
        <w:t>（二）独立董事关于本次关联交易事项的事前认可和独立意见。</w:t>
      </w:r>
    </w:p>
    <w:p w:rsidR="004B6E96" w:rsidRDefault="00912F64" w:rsidP="00430A03">
      <w:pPr>
        <w:autoSpaceDE w:val="0"/>
        <w:autoSpaceDN w:val="0"/>
        <w:adjustRightInd w:val="0"/>
        <w:snapToGrid w:val="0"/>
        <w:spacing w:line="360" w:lineRule="auto"/>
        <w:ind w:firstLine="480"/>
        <w:jc w:val="left"/>
        <w:rPr>
          <w:kern w:val="0"/>
          <w:sz w:val="24"/>
        </w:rPr>
      </w:pPr>
      <w:r>
        <w:rPr>
          <w:rFonts w:hint="eastAsia"/>
          <w:kern w:val="0"/>
          <w:sz w:val="24"/>
        </w:rPr>
        <w:t>特此公告。</w:t>
      </w:r>
    </w:p>
    <w:p w:rsidR="004B6E96" w:rsidRDefault="004B6E96" w:rsidP="00430A03">
      <w:pPr>
        <w:autoSpaceDE w:val="0"/>
        <w:autoSpaceDN w:val="0"/>
        <w:adjustRightInd w:val="0"/>
        <w:snapToGrid w:val="0"/>
        <w:spacing w:line="360" w:lineRule="auto"/>
        <w:jc w:val="left"/>
        <w:rPr>
          <w:kern w:val="0"/>
          <w:sz w:val="24"/>
        </w:rPr>
      </w:pPr>
    </w:p>
    <w:p w:rsidR="004B6E96" w:rsidRDefault="004B6E96" w:rsidP="00430A03">
      <w:pPr>
        <w:autoSpaceDE w:val="0"/>
        <w:autoSpaceDN w:val="0"/>
        <w:adjustRightInd w:val="0"/>
        <w:snapToGrid w:val="0"/>
        <w:spacing w:line="360" w:lineRule="auto"/>
        <w:ind w:firstLine="480"/>
        <w:jc w:val="left"/>
        <w:rPr>
          <w:rFonts w:ascii="Times New Roman" w:eastAsiaTheme="majorEastAsia" w:hAnsi="Times New Roman"/>
          <w:bCs/>
          <w:sz w:val="24"/>
        </w:rPr>
      </w:pPr>
    </w:p>
    <w:p w:rsidR="004B6E96" w:rsidRDefault="00912F64" w:rsidP="00430A03">
      <w:pPr>
        <w:autoSpaceDE w:val="0"/>
        <w:autoSpaceDN w:val="0"/>
        <w:adjustRightInd w:val="0"/>
        <w:snapToGrid w:val="0"/>
        <w:spacing w:line="360" w:lineRule="auto"/>
        <w:ind w:firstLine="482"/>
        <w:jc w:val="right"/>
        <w:rPr>
          <w:rFonts w:asciiTheme="minorEastAsia" w:eastAsiaTheme="minorEastAsia" w:hAnsiTheme="minorEastAsia"/>
          <w:sz w:val="24"/>
          <w:szCs w:val="24"/>
        </w:rPr>
      </w:pPr>
      <w:r>
        <w:rPr>
          <w:rFonts w:asciiTheme="minorEastAsia" w:eastAsiaTheme="minorEastAsia" w:hAnsiTheme="minorEastAsia"/>
          <w:sz w:val="24"/>
          <w:szCs w:val="24"/>
        </w:rPr>
        <w:t>中百控股集团股份有限公司</w:t>
      </w:r>
    </w:p>
    <w:p w:rsidR="004B6E96" w:rsidRDefault="00912F64" w:rsidP="00430A03">
      <w:pPr>
        <w:autoSpaceDE w:val="0"/>
        <w:autoSpaceDN w:val="0"/>
        <w:adjustRightInd w:val="0"/>
        <w:snapToGrid w:val="0"/>
        <w:spacing w:line="360" w:lineRule="auto"/>
        <w:ind w:right="480" w:firstLine="482"/>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董  事  会</w:t>
      </w:r>
    </w:p>
    <w:p w:rsidR="004B6E96" w:rsidRDefault="00912F64" w:rsidP="00430A03">
      <w:pPr>
        <w:autoSpaceDE w:val="0"/>
        <w:autoSpaceDN w:val="0"/>
        <w:adjustRightInd w:val="0"/>
        <w:snapToGrid w:val="0"/>
        <w:spacing w:line="360" w:lineRule="auto"/>
        <w:ind w:right="600" w:firstLine="482"/>
        <w:jc w:val="right"/>
        <w:rPr>
          <w:rFonts w:asciiTheme="minorEastAsia" w:eastAsiaTheme="minorEastAsia" w:hAnsiTheme="minorEastAsia"/>
          <w:sz w:val="24"/>
          <w:szCs w:val="24"/>
        </w:rPr>
      </w:pPr>
      <w:r>
        <w:rPr>
          <w:rFonts w:asciiTheme="minorEastAsia" w:eastAsiaTheme="minorEastAsia" w:hAnsiTheme="minorEastAsia" w:hint="eastAsia"/>
          <w:kern w:val="0"/>
          <w:sz w:val="24"/>
        </w:rPr>
        <w:t>2022年3月26日</w:t>
      </w:r>
    </w:p>
    <w:sectPr w:rsidR="004B6E96" w:rsidSect="004B6E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077" w:rsidRDefault="00186077" w:rsidP="0015202D">
      <w:r>
        <w:separator/>
      </w:r>
    </w:p>
  </w:endnote>
  <w:endnote w:type="continuationSeparator" w:id="0">
    <w:p w:rsidR="00186077" w:rsidRDefault="00186077" w:rsidP="0015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077" w:rsidRDefault="00186077" w:rsidP="0015202D">
      <w:r>
        <w:separator/>
      </w:r>
    </w:p>
  </w:footnote>
  <w:footnote w:type="continuationSeparator" w:id="0">
    <w:p w:rsidR="00186077" w:rsidRDefault="00186077" w:rsidP="001520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530F"/>
    <w:rsid w:val="00010AB2"/>
    <w:rsid w:val="000433F8"/>
    <w:rsid w:val="00095DAE"/>
    <w:rsid w:val="000974F8"/>
    <w:rsid w:val="000A634A"/>
    <w:rsid w:val="000C6CF1"/>
    <w:rsid w:val="0010691C"/>
    <w:rsid w:val="00111377"/>
    <w:rsid w:val="001277B9"/>
    <w:rsid w:val="00130FC4"/>
    <w:rsid w:val="0015202D"/>
    <w:rsid w:val="00157C1D"/>
    <w:rsid w:val="00186077"/>
    <w:rsid w:val="00191E6F"/>
    <w:rsid w:val="001B4B30"/>
    <w:rsid w:val="001C6A2A"/>
    <w:rsid w:val="001E0FEE"/>
    <w:rsid w:val="001F067A"/>
    <w:rsid w:val="002331D4"/>
    <w:rsid w:val="002432D6"/>
    <w:rsid w:val="0024553B"/>
    <w:rsid w:val="0027341E"/>
    <w:rsid w:val="00274840"/>
    <w:rsid w:val="002A046A"/>
    <w:rsid w:val="002B018F"/>
    <w:rsid w:val="002C02FC"/>
    <w:rsid w:val="002D1B24"/>
    <w:rsid w:val="002D5CC3"/>
    <w:rsid w:val="002D6A97"/>
    <w:rsid w:val="002F79DA"/>
    <w:rsid w:val="0030667F"/>
    <w:rsid w:val="003372AD"/>
    <w:rsid w:val="00341DB8"/>
    <w:rsid w:val="0034463C"/>
    <w:rsid w:val="003A0834"/>
    <w:rsid w:val="0040367C"/>
    <w:rsid w:val="00415C4A"/>
    <w:rsid w:val="00420E8F"/>
    <w:rsid w:val="00430A03"/>
    <w:rsid w:val="00437A25"/>
    <w:rsid w:val="0044240D"/>
    <w:rsid w:val="004430C3"/>
    <w:rsid w:val="00443B26"/>
    <w:rsid w:val="004B6E96"/>
    <w:rsid w:val="005114AE"/>
    <w:rsid w:val="00517F83"/>
    <w:rsid w:val="00526DAA"/>
    <w:rsid w:val="00532579"/>
    <w:rsid w:val="005608C3"/>
    <w:rsid w:val="00584DD4"/>
    <w:rsid w:val="005C52FF"/>
    <w:rsid w:val="005C7ED1"/>
    <w:rsid w:val="00652952"/>
    <w:rsid w:val="00682F25"/>
    <w:rsid w:val="006969FD"/>
    <w:rsid w:val="006A0CA1"/>
    <w:rsid w:val="006B244E"/>
    <w:rsid w:val="006B7DED"/>
    <w:rsid w:val="006C77AB"/>
    <w:rsid w:val="006E5163"/>
    <w:rsid w:val="006E692D"/>
    <w:rsid w:val="006F418E"/>
    <w:rsid w:val="006F5D6D"/>
    <w:rsid w:val="006F78E9"/>
    <w:rsid w:val="00724C72"/>
    <w:rsid w:val="007371E9"/>
    <w:rsid w:val="00757A95"/>
    <w:rsid w:val="007C6802"/>
    <w:rsid w:val="007C6821"/>
    <w:rsid w:val="007E5997"/>
    <w:rsid w:val="007F00FC"/>
    <w:rsid w:val="008526F1"/>
    <w:rsid w:val="008742F4"/>
    <w:rsid w:val="00877B1E"/>
    <w:rsid w:val="008A7066"/>
    <w:rsid w:val="008B7695"/>
    <w:rsid w:val="008C64F6"/>
    <w:rsid w:val="008D1073"/>
    <w:rsid w:val="008F4000"/>
    <w:rsid w:val="00901DDE"/>
    <w:rsid w:val="00912F64"/>
    <w:rsid w:val="00945AE4"/>
    <w:rsid w:val="00957913"/>
    <w:rsid w:val="00965073"/>
    <w:rsid w:val="00983122"/>
    <w:rsid w:val="0098317F"/>
    <w:rsid w:val="0099545B"/>
    <w:rsid w:val="009A2BB2"/>
    <w:rsid w:val="009A3746"/>
    <w:rsid w:val="009A7FB0"/>
    <w:rsid w:val="009D3BF1"/>
    <w:rsid w:val="00A02668"/>
    <w:rsid w:val="00A02E92"/>
    <w:rsid w:val="00A03B9E"/>
    <w:rsid w:val="00A1247D"/>
    <w:rsid w:val="00A43C77"/>
    <w:rsid w:val="00A57B36"/>
    <w:rsid w:val="00A60559"/>
    <w:rsid w:val="00A84AA6"/>
    <w:rsid w:val="00A861F8"/>
    <w:rsid w:val="00A927EA"/>
    <w:rsid w:val="00AD38B2"/>
    <w:rsid w:val="00B070F7"/>
    <w:rsid w:val="00B10A78"/>
    <w:rsid w:val="00B15C5E"/>
    <w:rsid w:val="00B34B41"/>
    <w:rsid w:val="00B51B23"/>
    <w:rsid w:val="00B673C7"/>
    <w:rsid w:val="00B801CC"/>
    <w:rsid w:val="00BA1B64"/>
    <w:rsid w:val="00BB4BDD"/>
    <w:rsid w:val="00BF3069"/>
    <w:rsid w:val="00BF5F2C"/>
    <w:rsid w:val="00C1459A"/>
    <w:rsid w:val="00C338EE"/>
    <w:rsid w:val="00C430D9"/>
    <w:rsid w:val="00C67714"/>
    <w:rsid w:val="00CA021E"/>
    <w:rsid w:val="00CA2F35"/>
    <w:rsid w:val="00CE4BB5"/>
    <w:rsid w:val="00CF530F"/>
    <w:rsid w:val="00D24B22"/>
    <w:rsid w:val="00D526DE"/>
    <w:rsid w:val="00D54A86"/>
    <w:rsid w:val="00D6074A"/>
    <w:rsid w:val="00D670EB"/>
    <w:rsid w:val="00D70FAF"/>
    <w:rsid w:val="00D8532C"/>
    <w:rsid w:val="00DB3AF1"/>
    <w:rsid w:val="00DE4D9C"/>
    <w:rsid w:val="00DF78A7"/>
    <w:rsid w:val="00E055E3"/>
    <w:rsid w:val="00E0680F"/>
    <w:rsid w:val="00E10CA1"/>
    <w:rsid w:val="00E42EAF"/>
    <w:rsid w:val="00E47064"/>
    <w:rsid w:val="00E5207A"/>
    <w:rsid w:val="00E70F18"/>
    <w:rsid w:val="00E8586B"/>
    <w:rsid w:val="00E9798E"/>
    <w:rsid w:val="00ED6A29"/>
    <w:rsid w:val="00F1442B"/>
    <w:rsid w:val="00F34577"/>
    <w:rsid w:val="00F357D7"/>
    <w:rsid w:val="00F45B41"/>
    <w:rsid w:val="00F737BE"/>
    <w:rsid w:val="00FB1B7A"/>
    <w:rsid w:val="00FB266D"/>
    <w:rsid w:val="00FC5E46"/>
    <w:rsid w:val="00FE7B13"/>
    <w:rsid w:val="1A8732DD"/>
    <w:rsid w:val="204E4F5E"/>
    <w:rsid w:val="22E65BEC"/>
    <w:rsid w:val="42ED3105"/>
    <w:rsid w:val="71B615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E9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semiHidden/>
    <w:unhideWhenUsed/>
    <w:qFormat/>
    <w:rsid w:val="004B6E96"/>
    <w:pPr>
      <w:ind w:firstLineChars="100" w:firstLine="420"/>
    </w:pPr>
    <w:rPr>
      <w:rFonts w:ascii="Calibri" w:hAnsi="Calibri"/>
      <w:szCs w:val="22"/>
    </w:rPr>
  </w:style>
  <w:style w:type="paragraph" w:styleId="a4">
    <w:name w:val="Body Text"/>
    <w:basedOn w:val="a"/>
    <w:qFormat/>
    <w:rsid w:val="004B6E96"/>
    <w:pPr>
      <w:spacing w:after="120"/>
    </w:pPr>
    <w:rPr>
      <w:rFonts w:ascii="Times New Roman" w:hAnsi="Times New Roman"/>
      <w:szCs w:val="24"/>
    </w:rPr>
  </w:style>
  <w:style w:type="paragraph" w:styleId="a5">
    <w:name w:val="Body Text Indent"/>
    <w:basedOn w:val="a"/>
    <w:link w:val="Char"/>
    <w:qFormat/>
    <w:rsid w:val="004B6E96"/>
    <w:pPr>
      <w:spacing w:after="120"/>
      <w:ind w:leftChars="200" w:left="420"/>
    </w:pPr>
    <w:rPr>
      <w:rFonts w:ascii="Times New Roman" w:hAnsi="Times New Roman"/>
      <w:szCs w:val="24"/>
    </w:rPr>
  </w:style>
  <w:style w:type="paragraph" w:styleId="a6">
    <w:name w:val="Balloon Text"/>
    <w:basedOn w:val="a"/>
    <w:semiHidden/>
    <w:qFormat/>
    <w:rsid w:val="004B6E96"/>
    <w:rPr>
      <w:rFonts w:ascii="Times New Roman" w:hAnsi="Times New Roman"/>
      <w:sz w:val="18"/>
      <w:szCs w:val="18"/>
    </w:rPr>
  </w:style>
  <w:style w:type="paragraph" w:styleId="a7">
    <w:name w:val="footer"/>
    <w:basedOn w:val="a"/>
    <w:link w:val="Char0"/>
    <w:uiPriority w:val="99"/>
    <w:semiHidden/>
    <w:unhideWhenUsed/>
    <w:qFormat/>
    <w:rsid w:val="004B6E96"/>
    <w:pPr>
      <w:tabs>
        <w:tab w:val="center" w:pos="4153"/>
        <w:tab w:val="right" w:pos="8306"/>
      </w:tabs>
      <w:snapToGrid w:val="0"/>
      <w:jc w:val="left"/>
    </w:pPr>
    <w:rPr>
      <w:sz w:val="18"/>
      <w:szCs w:val="18"/>
    </w:rPr>
  </w:style>
  <w:style w:type="paragraph" w:styleId="a8">
    <w:name w:val="header"/>
    <w:basedOn w:val="a"/>
    <w:link w:val="Char1"/>
    <w:uiPriority w:val="99"/>
    <w:semiHidden/>
    <w:unhideWhenUsed/>
    <w:qFormat/>
    <w:rsid w:val="004B6E9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4B6E96"/>
    <w:pPr>
      <w:widowControl/>
      <w:spacing w:before="100" w:beforeAutospacing="1" w:after="100" w:afterAutospacing="1"/>
      <w:jc w:val="left"/>
    </w:pPr>
    <w:rPr>
      <w:rFonts w:ascii="宋体" w:hAnsi="宋体" w:cs="宋体"/>
      <w:color w:val="000000"/>
      <w:kern w:val="0"/>
      <w:sz w:val="24"/>
      <w:szCs w:val="24"/>
    </w:rPr>
  </w:style>
  <w:style w:type="character" w:customStyle="1" w:styleId="DefaultChar">
    <w:name w:val="Default Char"/>
    <w:basedOn w:val="a0"/>
    <w:link w:val="Default"/>
    <w:qFormat/>
    <w:locked/>
    <w:rsid w:val="004B6E96"/>
    <w:rPr>
      <w:rFonts w:ascii="黑体" w:eastAsia="黑体" w:hAnsi="黑体"/>
      <w:color w:val="000000"/>
      <w:sz w:val="24"/>
      <w:szCs w:val="24"/>
    </w:rPr>
  </w:style>
  <w:style w:type="paragraph" w:customStyle="1" w:styleId="Default">
    <w:name w:val="Default"/>
    <w:link w:val="DefaultChar"/>
    <w:qFormat/>
    <w:rsid w:val="004B6E96"/>
    <w:pPr>
      <w:widowControl w:val="0"/>
      <w:autoSpaceDE w:val="0"/>
      <w:autoSpaceDN w:val="0"/>
      <w:adjustRightInd w:val="0"/>
    </w:pPr>
    <w:rPr>
      <w:rFonts w:ascii="黑体" w:eastAsia="黑体" w:hAnsi="黑体" w:cstheme="minorBidi"/>
      <w:color w:val="000000"/>
      <w:kern w:val="2"/>
      <w:sz w:val="24"/>
      <w:szCs w:val="24"/>
    </w:rPr>
  </w:style>
  <w:style w:type="character" w:customStyle="1" w:styleId="Char">
    <w:name w:val="正文文本缩进 Char"/>
    <w:basedOn w:val="a0"/>
    <w:link w:val="a5"/>
    <w:qFormat/>
    <w:rsid w:val="004B6E96"/>
    <w:rPr>
      <w:rFonts w:ascii="Times New Roman" w:eastAsia="宋体" w:hAnsi="Times New Roman" w:cs="Times New Roman"/>
      <w:szCs w:val="24"/>
    </w:rPr>
  </w:style>
  <w:style w:type="character" w:customStyle="1" w:styleId="Char1">
    <w:name w:val="页眉 Char"/>
    <w:basedOn w:val="a0"/>
    <w:link w:val="a8"/>
    <w:uiPriority w:val="99"/>
    <w:semiHidden/>
    <w:qFormat/>
    <w:rsid w:val="004B6E96"/>
    <w:rPr>
      <w:rFonts w:ascii="Calibri" w:eastAsia="宋体" w:hAnsi="Calibri" w:cs="Times New Roman"/>
      <w:sz w:val="18"/>
      <w:szCs w:val="18"/>
    </w:rPr>
  </w:style>
  <w:style w:type="character" w:customStyle="1" w:styleId="Char0">
    <w:name w:val="页脚 Char"/>
    <w:basedOn w:val="a0"/>
    <w:link w:val="a7"/>
    <w:uiPriority w:val="99"/>
    <w:semiHidden/>
    <w:qFormat/>
    <w:rsid w:val="004B6E96"/>
    <w:rPr>
      <w:rFonts w:ascii="Calibri" w:eastAsia="宋体" w:hAnsi="Calibri" w:cs="Times New Roman"/>
      <w:sz w:val="18"/>
      <w:szCs w:val="18"/>
    </w:rPr>
  </w:style>
  <w:style w:type="character" w:customStyle="1" w:styleId="da">
    <w:name w:val="da"/>
    <w:basedOn w:val="a0"/>
    <w:qFormat/>
    <w:rsid w:val="004B6E96"/>
  </w:style>
  <w:style w:type="paragraph" w:customStyle="1" w:styleId="aa">
    <w:name w:val="正文（首行缩进）"/>
    <w:basedOn w:val="a3"/>
    <w:next w:val="a6"/>
    <w:qFormat/>
    <w:rsid w:val="004B6E96"/>
    <w:pPr>
      <w:snapToGrid w:val="0"/>
      <w:spacing w:line="288" w:lineRule="auto"/>
      <w:ind w:firstLine="880"/>
    </w:pPr>
    <w:rPr>
      <w:rFonts w:eastAsia="方正书宋简体"/>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7B9D9-77AC-4F77-BDEB-59381C5A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陈雯</dc:creator>
  <cp:lastModifiedBy>Administrator</cp:lastModifiedBy>
  <cp:revision>80</cp:revision>
  <cp:lastPrinted>2017-04-21T08:24:00Z</cp:lastPrinted>
  <dcterms:created xsi:type="dcterms:W3CDTF">2017-03-18T06:11:00Z</dcterms:created>
  <dcterms:modified xsi:type="dcterms:W3CDTF">2022-03-24T07:19:00Z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