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4E" w:rsidRDefault="00001929">
      <w:pPr>
        <w:adjustRightInd w:val="0"/>
        <w:snapToGrid w:val="0"/>
        <w:jc w:val="center"/>
        <w:rPr>
          <w:rFonts w:ascii="宋体" w:hAnsi="宋体"/>
          <w:kern w:val="0"/>
          <w:sz w:val="24"/>
        </w:rPr>
      </w:pPr>
      <w:r>
        <w:rPr>
          <w:rFonts w:ascii="宋体" w:hAnsi="宋体"/>
          <w:kern w:val="0"/>
          <w:sz w:val="24"/>
        </w:rPr>
        <w:t>证券代码：000759         证券简称：中百集团        公告编号：202</w:t>
      </w:r>
      <w:r>
        <w:rPr>
          <w:rFonts w:ascii="宋体" w:hAnsi="宋体" w:hint="eastAsia"/>
          <w:kern w:val="0"/>
          <w:sz w:val="24"/>
        </w:rPr>
        <w:t>2</w:t>
      </w:r>
      <w:r>
        <w:rPr>
          <w:rFonts w:ascii="宋体" w:hAnsi="宋体"/>
          <w:kern w:val="0"/>
          <w:sz w:val="24"/>
        </w:rPr>
        <w:t>-0</w:t>
      </w:r>
      <w:r>
        <w:rPr>
          <w:rFonts w:ascii="宋体" w:hAnsi="宋体" w:hint="eastAsia"/>
          <w:kern w:val="0"/>
          <w:sz w:val="24"/>
        </w:rPr>
        <w:t>12</w:t>
      </w:r>
    </w:p>
    <w:p w:rsidR="00F93C4E" w:rsidRDefault="00F93C4E">
      <w:pPr>
        <w:adjustRightInd w:val="0"/>
        <w:snapToGrid w:val="0"/>
        <w:jc w:val="center"/>
        <w:rPr>
          <w:rFonts w:ascii="宋体" w:hAnsi="宋体"/>
          <w:kern w:val="0"/>
          <w:sz w:val="24"/>
        </w:rPr>
      </w:pPr>
    </w:p>
    <w:p w:rsidR="00F93C4E" w:rsidRDefault="00001929">
      <w:pPr>
        <w:autoSpaceDE w:val="0"/>
        <w:autoSpaceDN w:val="0"/>
        <w:adjustRightInd w:val="0"/>
        <w:snapToGrid w:val="0"/>
        <w:spacing w:line="440" w:lineRule="atLeast"/>
        <w:jc w:val="center"/>
        <w:rPr>
          <w:rFonts w:ascii="黑体" w:eastAsia="黑体" w:hAnsi="黑体"/>
          <w:kern w:val="0"/>
          <w:sz w:val="36"/>
          <w:szCs w:val="36"/>
        </w:rPr>
      </w:pPr>
      <w:r>
        <w:rPr>
          <w:rFonts w:ascii="黑体" w:eastAsia="黑体" w:hAnsi="黑体" w:hint="eastAsia"/>
          <w:kern w:val="0"/>
          <w:sz w:val="36"/>
          <w:szCs w:val="36"/>
        </w:rPr>
        <w:t>中百控股集团股份有限公司</w:t>
      </w:r>
    </w:p>
    <w:p w:rsidR="00F93C4E" w:rsidRDefault="00001929">
      <w:pPr>
        <w:pStyle w:val="Default"/>
        <w:snapToGrid w:val="0"/>
        <w:jc w:val="center"/>
        <w:rPr>
          <w:rFonts w:eastAsia="黑体"/>
          <w:sz w:val="36"/>
          <w:szCs w:val="36"/>
        </w:rPr>
      </w:pPr>
      <w:r>
        <w:rPr>
          <w:rFonts w:ascii="黑体" w:eastAsia="黑体" w:hAnsi="黑体" w:hint="eastAsia"/>
          <w:sz w:val="36"/>
          <w:szCs w:val="36"/>
        </w:rPr>
        <w:t>关于使用自有闲置资金购买理财产品的</w:t>
      </w:r>
      <w:r>
        <w:rPr>
          <w:rFonts w:eastAsia="黑体"/>
          <w:sz w:val="36"/>
          <w:szCs w:val="36"/>
        </w:rPr>
        <w:t>公告</w:t>
      </w:r>
    </w:p>
    <w:p w:rsidR="00F93C4E" w:rsidRDefault="00F93C4E">
      <w:pPr>
        <w:pStyle w:val="Default"/>
        <w:snapToGrid w:val="0"/>
        <w:jc w:val="center"/>
        <w:rPr>
          <w:rFonts w:eastAsia="黑体"/>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F93C4E">
        <w:tc>
          <w:tcPr>
            <w:tcW w:w="8522" w:type="dxa"/>
          </w:tcPr>
          <w:p w:rsidR="00F93C4E" w:rsidRDefault="00001929">
            <w:pPr>
              <w:pStyle w:val="Default"/>
              <w:spacing w:line="400" w:lineRule="exact"/>
              <w:ind w:firstLineChars="200" w:firstLine="480"/>
              <w:jc w:val="both"/>
              <w:rPr>
                <w:rFonts w:ascii="楷体" w:eastAsia="楷体" w:hAnsi="楷体"/>
              </w:rPr>
            </w:pPr>
            <w:r>
              <w:rPr>
                <w:rFonts w:ascii="楷体" w:eastAsia="楷体" w:hAnsi="楷体" w:hint="eastAsia"/>
              </w:rPr>
              <w:t>本公司及董事会全体成员保证信息披露的内容真实、准确、完整，没有虚假记载、误导性陈述或者重大遗漏。</w:t>
            </w:r>
          </w:p>
        </w:tc>
      </w:tr>
    </w:tbl>
    <w:p w:rsidR="00F93C4E" w:rsidRDefault="00F93C4E">
      <w:pPr>
        <w:spacing w:line="360" w:lineRule="auto"/>
      </w:pPr>
    </w:p>
    <w:p w:rsidR="00F93C4E" w:rsidRDefault="00001929">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2022年3月24日，中百控股集团股份有限公司（以下简称“公司”）召开第十届董事会第九次会议，审议通过了《关于使用自有闲置资金购买理财产品的议案》。</w:t>
      </w:r>
    </w:p>
    <w:p w:rsidR="00F93C4E" w:rsidRDefault="00001929">
      <w:pPr>
        <w:autoSpaceDE w:val="0"/>
        <w:autoSpaceDN w:val="0"/>
        <w:adjustRightInd w:val="0"/>
        <w:snapToGrid w:val="0"/>
        <w:spacing w:line="360" w:lineRule="auto"/>
        <w:ind w:firstLineChars="200" w:firstLine="480"/>
        <w:rPr>
          <w:rFonts w:ascii="宋体" w:hAnsi="宋体" w:cs="宋体"/>
          <w:b/>
          <w:sz w:val="24"/>
          <w:szCs w:val="24"/>
        </w:rPr>
      </w:pPr>
      <w:r>
        <w:rPr>
          <w:rFonts w:ascii="宋体" w:hAnsi="宋体" w:cs="宋体" w:hint="eastAsia"/>
          <w:bCs/>
          <w:sz w:val="24"/>
          <w:szCs w:val="24"/>
        </w:rPr>
        <w:t>为提高资金使用效率，根据公司经营计划和资金使用情况，在保证资金流动性和安全性的基础上，公司计划2022年使用不超过人民币10亿元额度的临时闲置资金进行委托理财，用于购买固定收益类或低风险类的金融机构理财产品。在上述额度内公司可循环、滚动使用。同时授权董事长具体实施委托理财事项，包括但不限于产品选择、实际投资金额确定、协议的签署等。授权期限自股东大会审议通过之日起一年内有效。</w:t>
      </w:r>
    </w:p>
    <w:p w:rsidR="00F93C4E" w:rsidRDefault="00001929">
      <w:pPr>
        <w:pStyle w:val="a7"/>
        <w:adjustRightInd w:val="0"/>
        <w:snapToGrid w:val="0"/>
        <w:spacing w:after="0" w:line="360" w:lineRule="auto"/>
        <w:ind w:leftChars="0" w:left="0" w:firstLineChars="200" w:firstLine="480"/>
        <w:rPr>
          <w:rFonts w:ascii="宋体" w:hAnsi="宋体" w:cs="宋体"/>
          <w:bCs/>
          <w:sz w:val="24"/>
        </w:rPr>
      </w:pPr>
      <w:r>
        <w:rPr>
          <w:rFonts w:ascii="宋体" w:hAnsi="宋体" w:cs="宋体" w:hint="eastAsia"/>
          <w:bCs/>
          <w:sz w:val="24"/>
        </w:rPr>
        <w:t>本次交易不构成关联交易</w:t>
      </w:r>
      <w:r w:rsidR="00B927F9">
        <w:rPr>
          <w:rFonts w:ascii="宋体" w:hAnsi="宋体" w:cs="宋体" w:hint="eastAsia"/>
          <w:bCs/>
          <w:sz w:val="24"/>
        </w:rPr>
        <w:t>，</w:t>
      </w:r>
      <w:r>
        <w:rPr>
          <w:rFonts w:ascii="宋体" w:hAnsi="宋体" w:cs="宋体" w:hint="eastAsia"/>
          <w:bCs/>
          <w:sz w:val="24"/>
        </w:rPr>
        <w:t>需提交股东大会审议。</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rFonts w:ascii="黑体" w:eastAsia="黑体" w:hAnsi="黑体" w:cs="黑体" w:hint="eastAsia"/>
          <w:bCs/>
          <w:sz w:val="24"/>
        </w:rPr>
        <w:t xml:space="preserve">一、投资理财概述 </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 xml:space="preserve">（一）投资目的 </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公司实施稳健的现金流控制政策，在不影响公司正常生产经营及发展的情况下，公司使用自有临时性闲置资金投资安全性高、流动性好、低风险、稳健型理财产品，有利于提高公司自有临时性闲置流动资金使用效率，增加公司收益。</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（二）投资额度</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sz w:val="24"/>
        </w:rPr>
      </w:pPr>
      <w:r>
        <w:rPr>
          <w:rFonts w:ascii="宋体" w:hAnsi="宋体" w:hint="eastAsia"/>
          <w:color w:val="000000"/>
          <w:sz w:val="24"/>
        </w:rPr>
        <w:t>不超过人民币10</w:t>
      </w:r>
      <w:r>
        <w:rPr>
          <w:rFonts w:asciiTheme="minorEastAsia" w:eastAsiaTheme="minorEastAsia" w:hAnsiTheme="minorEastAsia" w:hint="eastAsia"/>
          <w:bCs/>
          <w:sz w:val="24"/>
        </w:rPr>
        <w:t>亿</w:t>
      </w:r>
      <w:r>
        <w:rPr>
          <w:rFonts w:ascii="宋体" w:hAnsi="宋体" w:hint="eastAsia"/>
          <w:color w:val="000000"/>
          <w:sz w:val="24"/>
        </w:rPr>
        <w:t>元，该投资额占</w:t>
      </w:r>
      <w:r>
        <w:rPr>
          <w:rFonts w:ascii="宋体" w:hAnsi="宋体" w:hint="eastAsia"/>
          <w:sz w:val="24"/>
        </w:rPr>
        <w:t>公司</w:t>
      </w:r>
      <w:r>
        <w:rPr>
          <w:rFonts w:ascii="宋体" w:hAnsi="宋体"/>
          <w:sz w:val="24"/>
        </w:rPr>
        <w:t>20</w:t>
      </w:r>
      <w:r>
        <w:rPr>
          <w:rFonts w:ascii="宋体" w:hAnsi="宋体" w:hint="eastAsia"/>
          <w:sz w:val="24"/>
        </w:rPr>
        <w:t>21年度经审计的净资产的32.53</w:t>
      </w:r>
      <w:r>
        <w:rPr>
          <w:rFonts w:ascii="宋体" w:hAnsi="宋体"/>
          <w:sz w:val="24"/>
        </w:rPr>
        <w:t>%</w:t>
      </w:r>
      <w:r>
        <w:rPr>
          <w:rFonts w:ascii="宋体" w:hAnsi="宋体" w:hint="eastAsia"/>
          <w:sz w:val="24"/>
        </w:rPr>
        <w:t>。在不超过前述额度内，资金可以滚动循环使用。</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（三）投资品种</w:t>
      </w:r>
    </w:p>
    <w:p w:rsidR="00F93C4E" w:rsidRDefault="00001929">
      <w:pPr>
        <w:adjustRightInd w:val="0"/>
        <w:snapToGrid w:val="0"/>
        <w:spacing w:line="360" w:lineRule="auto"/>
        <w:ind w:firstLineChars="200" w:firstLine="480"/>
        <w:rPr>
          <w:rFonts w:ascii="宋体" w:hAnsi="宋体"/>
          <w:sz w:val="24"/>
          <w:szCs w:val="24"/>
        </w:rPr>
      </w:pPr>
      <w:r>
        <w:rPr>
          <w:rFonts w:ascii="宋体" w:hAnsi="宋体" w:hint="eastAsia"/>
          <w:sz w:val="24"/>
          <w:szCs w:val="24"/>
        </w:rPr>
        <w:t>投资产品包括但不限于银行理财产品、证券公司理财产品、货币型基金、信托计划以及其他金融机构理财产品。</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（四）资金来源</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bCs/>
          <w:sz w:val="24"/>
        </w:rPr>
      </w:pPr>
      <w:r>
        <w:rPr>
          <w:rFonts w:ascii="宋体" w:hAnsi="宋体"/>
          <w:sz w:val="24"/>
        </w:rPr>
        <w:t>公司为</w:t>
      </w:r>
      <w:r>
        <w:rPr>
          <w:rFonts w:ascii="宋体" w:hAnsi="宋体" w:hint="eastAsia"/>
          <w:sz w:val="24"/>
        </w:rPr>
        <w:t>大型</w:t>
      </w:r>
      <w:r>
        <w:rPr>
          <w:rFonts w:ascii="宋体" w:hAnsi="宋体"/>
          <w:sz w:val="24"/>
        </w:rPr>
        <w:t>商业零售企业，</w:t>
      </w:r>
      <w:r>
        <w:rPr>
          <w:rFonts w:ascii="宋体" w:hAnsi="宋体" w:hint="eastAsia"/>
          <w:sz w:val="24"/>
        </w:rPr>
        <w:t>商品销售后形成一定规模的现金流，</w:t>
      </w:r>
      <w:r>
        <w:rPr>
          <w:rFonts w:ascii="宋体" w:hAnsi="宋体" w:hint="eastAsia"/>
          <w:color w:val="000000"/>
          <w:sz w:val="24"/>
        </w:rPr>
        <w:t>公司与供应商签订的销售合同一般会有一定时间的账期，</w:t>
      </w:r>
      <w:r>
        <w:rPr>
          <w:rFonts w:ascii="宋体" w:hAnsi="宋体" w:hint="eastAsia"/>
          <w:sz w:val="24"/>
        </w:rPr>
        <w:t>在前后两个结账期内存在临时性的</w:t>
      </w:r>
      <w:r>
        <w:rPr>
          <w:rFonts w:ascii="宋体" w:hAnsi="宋体" w:hint="eastAsia"/>
          <w:sz w:val="24"/>
        </w:rPr>
        <w:lastRenderedPageBreak/>
        <w:t>资金闲置</w:t>
      </w:r>
      <w:r>
        <w:rPr>
          <w:rFonts w:ascii="宋体" w:hAnsi="宋体"/>
          <w:sz w:val="24"/>
        </w:rPr>
        <w:t>。</w:t>
      </w:r>
      <w:r>
        <w:rPr>
          <w:rFonts w:ascii="宋体" w:hAnsi="宋体" w:hint="eastAsia"/>
          <w:color w:val="000000"/>
          <w:sz w:val="24"/>
        </w:rPr>
        <w:t>闲置期间，该流动资金可用于购买短期理财产品。</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（五）投资期限</w:t>
      </w:r>
    </w:p>
    <w:p w:rsidR="00F93C4E" w:rsidRDefault="00001929">
      <w:pPr>
        <w:pStyle w:val="a7"/>
        <w:adjustRightInd w:val="0"/>
        <w:snapToGrid w:val="0"/>
        <w:spacing w:after="0" w:line="360" w:lineRule="auto"/>
        <w:ind w:leftChars="0" w:left="0" w:firstLineChars="200" w:firstLine="480"/>
        <w:rPr>
          <w:rFonts w:ascii="宋体" w:hAnsi="宋体"/>
          <w:sz w:val="24"/>
        </w:rPr>
      </w:pPr>
      <w:r>
        <w:rPr>
          <w:rFonts w:ascii="宋体" w:hAnsi="宋体" w:hint="eastAsia"/>
          <w:sz w:val="24"/>
        </w:rPr>
        <w:t>有效期内，公司根据资金投资计划，按不同限期组合购买理财产品，单个理财产品的投资期限不超过一年。</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（六）实施方式</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cs="黑体"/>
          <w:bCs/>
          <w:sz w:val="24"/>
        </w:rPr>
      </w:pPr>
      <w:r>
        <w:rPr>
          <w:rFonts w:ascii="宋体" w:hAnsi="宋体" w:hint="eastAsia"/>
          <w:sz w:val="24"/>
        </w:rPr>
        <w:t>在额度范围内，公司董事会授权董事长行使该项投资决策权，公司财务负责人负责组织实施</w:t>
      </w:r>
      <w:r>
        <w:rPr>
          <w:rFonts w:asciiTheme="minorEastAsia" w:eastAsiaTheme="minorEastAsia" w:hAnsiTheme="minorEastAsia" w:hint="eastAsia"/>
          <w:sz w:val="24"/>
        </w:rPr>
        <w:t>，</w:t>
      </w:r>
      <w:r>
        <w:rPr>
          <w:rFonts w:ascii="宋体" w:hAnsi="宋体" w:hint="eastAsia"/>
          <w:sz w:val="24"/>
        </w:rPr>
        <w:t>公司</w:t>
      </w:r>
      <w:r w:rsidR="00FF740F">
        <w:rPr>
          <w:rFonts w:ascii="宋体" w:hAnsi="宋体" w:hint="eastAsia"/>
          <w:sz w:val="24"/>
        </w:rPr>
        <w:t>融资部</w:t>
      </w:r>
      <w:r>
        <w:rPr>
          <w:rFonts w:ascii="宋体" w:hAnsi="宋体" w:hint="eastAsia"/>
          <w:sz w:val="24"/>
        </w:rPr>
        <w:t>负责理财产品购买的具体操作。</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rFonts w:ascii="黑体" w:eastAsia="黑体" w:hAnsi="黑体" w:cs="黑体" w:hint="eastAsia"/>
          <w:bCs/>
          <w:sz w:val="24"/>
        </w:rPr>
        <w:t>二、存在的风险和风险控制措施</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（一）存在的风险：</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公司选择安全性高、流动性好、风险相对较低的稳健型的理财产品投资品种，但金融市场受宏观经济的影响较大，不排除收益会受到市场波动的影响。</w:t>
      </w:r>
      <w:r>
        <w:rPr>
          <w:rFonts w:asciiTheme="minorEastAsia" w:eastAsiaTheme="minorEastAsia" w:hAnsiTheme="minorEastAsia"/>
          <w:bCs/>
          <w:sz w:val="24"/>
        </w:rPr>
        <w:t xml:space="preserve">      </w:t>
      </w:r>
    </w:p>
    <w:p w:rsidR="00F93C4E" w:rsidRDefault="00001929">
      <w:pPr>
        <w:pStyle w:val="a7"/>
        <w:adjustRightInd w:val="0"/>
        <w:snapToGrid w:val="0"/>
        <w:spacing w:after="0" w:line="360" w:lineRule="auto"/>
        <w:ind w:leftChars="0" w:left="0" w:firstLineChars="200" w:firstLine="482"/>
        <w:rPr>
          <w:rFonts w:ascii="楷体" w:eastAsia="楷体" w:hAnsi="楷体"/>
          <w:b/>
          <w:bCs/>
          <w:sz w:val="24"/>
        </w:rPr>
      </w:pPr>
      <w:r>
        <w:rPr>
          <w:rFonts w:ascii="楷体" w:eastAsia="楷体" w:hAnsi="楷体" w:hint="eastAsia"/>
          <w:b/>
          <w:bCs/>
          <w:sz w:val="24"/>
        </w:rPr>
        <w:t>（二）风险控制：</w:t>
      </w:r>
    </w:p>
    <w:p w:rsidR="00F93C4E" w:rsidRDefault="00001929">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Pr>
          <w:rFonts w:asciiTheme="minorEastAsia" w:eastAsiaTheme="minorEastAsia" w:hAnsiTheme="minorEastAsia" w:hint="eastAsia"/>
          <w:sz w:val="24"/>
          <w:szCs w:val="24"/>
        </w:rPr>
        <w:t>.</w:t>
      </w:r>
      <w:r>
        <w:rPr>
          <w:rFonts w:ascii="宋体" w:hAnsi="宋体" w:hint="eastAsia"/>
          <w:sz w:val="24"/>
          <w:szCs w:val="24"/>
        </w:rPr>
        <w:t>公司将严格按照相关规章制度的要求进行投资，将风险防范放在首位，对理财产品投资进行严格把关，谨慎决策。</w:t>
      </w:r>
    </w:p>
    <w:p w:rsidR="00F93C4E" w:rsidRDefault="00001929">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Pr>
          <w:rFonts w:asciiTheme="minorEastAsia" w:eastAsiaTheme="minorEastAsia" w:hAnsiTheme="minorEastAsia" w:hint="eastAsia"/>
          <w:sz w:val="24"/>
          <w:szCs w:val="24"/>
        </w:rPr>
        <w:t>.</w:t>
      </w:r>
      <w:r>
        <w:rPr>
          <w:rFonts w:ascii="宋体" w:hAnsi="宋体" w:hint="eastAsia"/>
          <w:sz w:val="24"/>
          <w:szCs w:val="24"/>
        </w:rPr>
        <w:t>公司</w:t>
      </w:r>
      <w:r w:rsidR="00FF740F">
        <w:rPr>
          <w:rFonts w:ascii="宋体" w:hAnsi="宋体" w:hint="eastAsia"/>
          <w:sz w:val="24"/>
          <w:szCs w:val="24"/>
        </w:rPr>
        <w:t>融资部</w:t>
      </w:r>
      <w:r>
        <w:rPr>
          <w:rFonts w:ascii="宋体" w:hAnsi="宋体" w:hint="eastAsia"/>
          <w:sz w:val="24"/>
          <w:szCs w:val="24"/>
        </w:rPr>
        <w:t>为具体实施部门，负责建立理财产品台账并及时跟踪进展情况，如评估发现存在可能影响公司资金安全的风险因素，将及时采取相应的措施，控制投资风险。</w:t>
      </w:r>
    </w:p>
    <w:p w:rsidR="00F93C4E" w:rsidRDefault="00001929">
      <w:pPr>
        <w:pStyle w:val="a7"/>
        <w:adjustRightInd w:val="0"/>
        <w:snapToGrid w:val="0"/>
        <w:spacing w:after="0" w:line="360" w:lineRule="auto"/>
        <w:ind w:leftChars="0" w:left="0" w:firstLineChars="200" w:firstLine="480"/>
        <w:rPr>
          <w:rFonts w:asciiTheme="minorEastAsia" w:eastAsiaTheme="minorEastAsia" w:hAnsiTheme="minorEastAsia"/>
          <w:bCs/>
          <w:sz w:val="24"/>
        </w:rPr>
      </w:pPr>
      <w:r>
        <w:rPr>
          <w:rFonts w:ascii="宋体" w:hAnsi="宋体" w:hint="eastAsia"/>
          <w:sz w:val="24"/>
        </w:rPr>
        <w:t>3</w:t>
      </w:r>
      <w:r>
        <w:rPr>
          <w:rFonts w:asciiTheme="minorEastAsia" w:eastAsiaTheme="minorEastAsia" w:hAnsiTheme="minorEastAsia" w:hint="eastAsia"/>
          <w:sz w:val="24"/>
        </w:rPr>
        <w:t>.</w:t>
      </w:r>
      <w:r>
        <w:rPr>
          <w:rFonts w:ascii="宋体" w:hAnsi="宋体" w:hint="eastAsia"/>
          <w:sz w:val="24"/>
        </w:rPr>
        <w:t>公司将依据深交所的相关规定，在购买理财产品后履行信息披露义务，包括该次购买理财产品的额度、期限、收益等。</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rFonts w:ascii="黑体" w:eastAsia="黑体" w:hAnsi="黑体" w:cs="黑体" w:hint="eastAsia"/>
          <w:bCs/>
          <w:sz w:val="24"/>
        </w:rPr>
        <w:t>三、投资对公司的影响</w:t>
      </w:r>
    </w:p>
    <w:p w:rsidR="00F93C4E" w:rsidRDefault="00001929">
      <w:pPr>
        <w:adjustRightInd w:val="0"/>
        <w:snapToGrid w:val="0"/>
        <w:spacing w:line="360" w:lineRule="auto"/>
        <w:ind w:firstLineChars="200" w:firstLine="480"/>
        <w:rPr>
          <w:rFonts w:ascii="宋体" w:hAnsi="宋体"/>
          <w:sz w:val="24"/>
          <w:szCs w:val="24"/>
        </w:rPr>
      </w:pPr>
      <w:r>
        <w:rPr>
          <w:rFonts w:ascii="宋体" w:hAnsi="宋体"/>
          <w:sz w:val="24"/>
          <w:szCs w:val="24"/>
        </w:rPr>
        <w:t>公司购买的理财产品为保证收益型理财产品及保本浮动收益型银行理财产品，风险</w:t>
      </w:r>
      <w:r>
        <w:rPr>
          <w:rFonts w:ascii="宋体" w:hAnsi="宋体" w:hint="eastAsia"/>
          <w:sz w:val="24"/>
          <w:szCs w:val="24"/>
        </w:rPr>
        <w:t>相对</w:t>
      </w:r>
      <w:r>
        <w:rPr>
          <w:rFonts w:ascii="宋体" w:hAnsi="宋体"/>
          <w:sz w:val="24"/>
          <w:szCs w:val="24"/>
        </w:rPr>
        <w:t>可控。与此同时，理财使用的资金经公司充分的预估和测算，不会对公司的日常经营运作产生不利影响，并有利于提高公司闲置资金的使用效率，增加收益。</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rFonts w:ascii="黑体" w:eastAsia="黑体" w:hAnsi="黑体" w:cs="黑体" w:hint="eastAsia"/>
          <w:bCs/>
          <w:sz w:val="24"/>
        </w:rPr>
        <w:t>四</w:t>
      </w:r>
      <w:r>
        <w:rPr>
          <w:rFonts w:ascii="黑体" w:eastAsia="黑体" w:hAnsi="黑体" w:cs="黑体"/>
          <w:bCs/>
          <w:sz w:val="24"/>
        </w:rPr>
        <w:t>、独立董事意见</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sz w:val="24"/>
        </w:rPr>
        <w:t>独立董事认为：</w:t>
      </w:r>
      <w:r>
        <w:rPr>
          <w:rFonts w:ascii="宋体" w:hAnsi="宋体" w:hint="eastAsia"/>
          <w:kern w:val="0"/>
          <w:sz w:val="24"/>
        </w:rPr>
        <w:t>在符合国家法律法规及保障资金安全的前提下，在确保公司正常生产经营各种资金需求的情况下，公司使用自有闲置资金进行委托理财等投资业务，不会影响公司主营业务的正常开展，由于能获得一定投资收益，有利于进一步提升公司整体业绩水平，不存在损害公司及全体股东利益的情形。我们同意公司使用自有闲置资金购买理财产品。</w:t>
      </w:r>
    </w:p>
    <w:p w:rsidR="00F93C4E" w:rsidRDefault="00001929">
      <w:pPr>
        <w:pStyle w:val="a7"/>
        <w:adjustRightInd w:val="0"/>
        <w:snapToGrid w:val="0"/>
        <w:spacing w:after="0" w:line="360" w:lineRule="auto"/>
        <w:ind w:leftChars="0" w:left="0" w:firstLineChars="200" w:firstLine="480"/>
        <w:rPr>
          <w:rFonts w:ascii="黑体" w:eastAsia="黑体" w:hAnsi="黑体" w:cs="黑体"/>
          <w:bCs/>
          <w:sz w:val="24"/>
        </w:rPr>
      </w:pPr>
      <w:r>
        <w:rPr>
          <w:rFonts w:ascii="黑体" w:eastAsia="黑体" w:hAnsi="黑体" w:cs="黑体" w:hint="eastAsia"/>
          <w:bCs/>
          <w:sz w:val="24"/>
        </w:rPr>
        <w:lastRenderedPageBreak/>
        <w:t>五</w:t>
      </w:r>
      <w:r>
        <w:rPr>
          <w:rFonts w:ascii="黑体" w:eastAsia="黑体" w:hAnsi="黑体" w:cs="黑体"/>
          <w:bCs/>
          <w:sz w:val="24"/>
        </w:rPr>
        <w:t>、备查文件目录</w:t>
      </w:r>
    </w:p>
    <w:p w:rsidR="00F93C4E" w:rsidRDefault="00001929">
      <w:pPr>
        <w:autoSpaceDE w:val="0"/>
        <w:autoSpaceDN w:val="0"/>
        <w:adjustRightInd w:val="0"/>
        <w:snapToGrid w:val="0"/>
        <w:spacing w:line="360" w:lineRule="auto"/>
        <w:ind w:firstLineChars="200" w:firstLine="480"/>
        <w:jc w:val="left"/>
        <w:rPr>
          <w:kern w:val="0"/>
          <w:sz w:val="24"/>
        </w:rPr>
      </w:pPr>
      <w:r>
        <w:rPr>
          <w:kern w:val="0"/>
          <w:sz w:val="24"/>
        </w:rPr>
        <w:t>（一）公司第</w:t>
      </w:r>
      <w:r>
        <w:rPr>
          <w:rFonts w:hint="eastAsia"/>
          <w:kern w:val="0"/>
          <w:sz w:val="24"/>
        </w:rPr>
        <w:t>十</w:t>
      </w:r>
      <w:r>
        <w:rPr>
          <w:kern w:val="0"/>
          <w:sz w:val="24"/>
        </w:rPr>
        <w:t>届董事会第</w:t>
      </w:r>
      <w:r>
        <w:rPr>
          <w:rFonts w:hint="eastAsia"/>
          <w:kern w:val="0"/>
          <w:sz w:val="24"/>
        </w:rPr>
        <w:t>九</w:t>
      </w:r>
      <w:r>
        <w:rPr>
          <w:kern w:val="0"/>
          <w:sz w:val="24"/>
        </w:rPr>
        <w:t>次会议决议。</w:t>
      </w:r>
    </w:p>
    <w:p w:rsidR="00F93C4E" w:rsidRDefault="00001929">
      <w:pPr>
        <w:autoSpaceDE w:val="0"/>
        <w:autoSpaceDN w:val="0"/>
        <w:adjustRightInd w:val="0"/>
        <w:snapToGrid w:val="0"/>
        <w:spacing w:line="360" w:lineRule="auto"/>
        <w:ind w:firstLineChars="200" w:firstLine="480"/>
        <w:jc w:val="left"/>
        <w:rPr>
          <w:kern w:val="0"/>
          <w:sz w:val="24"/>
        </w:rPr>
      </w:pPr>
      <w:r>
        <w:rPr>
          <w:kern w:val="0"/>
          <w:sz w:val="24"/>
        </w:rPr>
        <w:t>（二）公司独立董事</w:t>
      </w:r>
      <w:r>
        <w:rPr>
          <w:rFonts w:hint="eastAsia"/>
          <w:kern w:val="0"/>
          <w:sz w:val="24"/>
        </w:rPr>
        <w:t>关于使用自有闲置资金购买理财产品的独立意见。</w:t>
      </w:r>
    </w:p>
    <w:p w:rsidR="00F93C4E" w:rsidRDefault="00001929">
      <w:pPr>
        <w:autoSpaceDE w:val="0"/>
        <w:autoSpaceDN w:val="0"/>
        <w:adjustRightInd w:val="0"/>
        <w:snapToGrid w:val="0"/>
        <w:spacing w:line="360" w:lineRule="auto"/>
        <w:ind w:firstLineChars="200" w:firstLine="480"/>
        <w:jc w:val="left"/>
        <w:rPr>
          <w:kern w:val="0"/>
          <w:sz w:val="24"/>
        </w:rPr>
      </w:pPr>
      <w:r>
        <w:rPr>
          <w:kern w:val="0"/>
          <w:sz w:val="24"/>
        </w:rPr>
        <w:t>特此公告</w:t>
      </w:r>
      <w:r>
        <w:rPr>
          <w:rFonts w:hint="eastAsia"/>
          <w:kern w:val="0"/>
          <w:sz w:val="24"/>
        </w:rPr>
        <w:t>。</w:t>
      </w:r>
    </w:p>
    <w:p w:rsidR="00F93C4E" w:rsidRDefault="00F93C4E">
      <w:pPr>
        <w:autoSpaceDE w:val="0"/>
        <w:autoSpaceDN w:val="0"/>
        <w:adjustRightInd w:val="0"/>
        <w:snapToGrid w:val="0"/>
        <w:spacing w:line="360" w:lineRule="auto"/>
        <w:ind w:right="480" w:firstLineChars="200" w:firstLine="482"/>
        <w:rPr>
          <w:b/>
          <w:kern w:val="0"/>
          <w:sz w:val="24"/>
        </w:rPr>
      </w:pPr>
    </w:p>
    <w:p w:rsidR="00F93C4E" w:rsidRDefault="00F93C4E">
      <w:pPr>
        <w:autoSpaceDE w:val="0"/>
        <w:autoSpaceDN w:val="0"/>
        <w:adjustRightInd w:val="0"/>
        <w:snapToGrid w:val="0"/>
        <w:spacing w:line="360" w:lineRule="auto"/>
        <w:ind w:right="480" w:firstLineChars="200" w:firstLine="482"/>
        <w:rPr>
          <w:b/>
          <w:kern w:val="0"/>
          <w:sz w:val="24"/>
        </w:rPr>
      </w:pPr>
    </w:p>
    <w:p w:rsidR="00F93C4E" w:rsidRDefault="00F93C4E">
      <w:pPr>
        <w:autoSpaceDE w:val="0"/>
        <w:autoSpaceDN w:val="0"/>
        <w:adjustRightInd w:val="0"/>
        <w:snapToGrid w:val="0"/>
        <w:spacing w:line="360" w:lineRule="auto"/>
        <w:ind w:right="480" w:firstLineChars="200" w:firstLine="482"/>
        <w:rPr>
          <w:b/>
          <w:kern w:val="0"/>
          <w:sz w:val="24"/>
        </w:rPr>
      </w:pPr>
    </w:p>
    <w:p w:rsidR="00F93C4E" w:rsidRDefault="00001929">
      <w:pPr>
        <w:autoSpaceDE w:val="0"/>
        <w:autoSpaceDN w:val="0"/>
        <w:adjustRightInd w:val="0"/>
        <w:snapToGrid w:val="0"/>
        <w:spacing w:line="360" w:lineRule="auto"/>
        <w:ind w:firstLineChars="200" w:firstLine="480"/>
        <w:jc w:val="center"/>
        <w:rPr>
          <w:kern w:val="0"/>
          <w:sz w:val="24"/>
        </w:rPr>
      </w:pPr>
      <w:r>
        <w:rPr>
          <w:rFonts w:hint="eastAsia"/>
          <w:kern w:val="0"/>
          <w:sz w:val="24"/>
        </w:rPr>
        <w:t xml:space="preserve">                                   </w:t>
      </w:r>
      <w:bookmarkStart w:id="0" w:name="_GoBack"/>
      <w:bookmarkEnd w:id="0"/>
      <w:r>
        <w:rPr>
          <w:rFonts w:hint="eastAsia"/>
          <w:kern w:val="0"/>
          <w:sz w:val="24"/>
        </w:rPr>
        <w:t xml:space="preserve"> </w:t>
      </w:r>
      <w:r>
        <w:rPr>
          <w:kern w:val="0"/>
          <w:sz w:val="24"/>
        </w:rPr>
        <w:t>中百控股集团股份有限公司</w:t>
      </w:r>
    </w:p>
    <w:p w:rsidR="00F93C4E" w:rsidRDefault="00001929">
      <w:pPr>
        <w:autoSpaceDE w:val="0"/>
        <w:autoSpaceDN w:val="0"/>
        <w:adjustRightInd w:val="0"/>
        <w:snapToGrid w:val="0"/>
        <w:spacing w:line="360" w:lineRule="auto"/>
        <w:ind w:right="480" w:firstLineChars="200" w:firstLine="480"/>
        <w:jc w:val="center"/>
        <w:rPr>
          <w:kern w:val="0"/>
          <w:sz w:val="24"/>
        </w:rPr>
      </w:pPr>
      <w:r>
        <w:rPr>
          <w:rFonts w:hint="eastAsia"/>
          <w:kern w:val="0"/>
          <w:sz w:val="24"/>
        </w:rPr>
        <w:t xml:space="preserve">                                          </w:t>
      </w:r>
      <w:r>
        <w:rPr>
          <w:kern w:val="0"/>
          <w:sz w:val="24"/>
        </w:rPr>
        <w:t>董</w:t>
      </w:r>
      <w:r>
        <w:rPr>
          <w:kern w:val="0"/>
          <w:sz w:val="24"/>
        </w:rPr>
        <w:t xml:space="preserve"> </w:t>
      </w:r>
      <w:r>
        <w:rPr>
          <w:kern w:val="0"/>
          <w:sz w:val="24"/>
        </w:rPr>
        <w:t>事</w:t>
      </w:r>
      <w:r>
        <w:rPr>
          <w:kern w:val="0"/>
          <w:sz w:val="24"/>
        </w:rPr>
        <w:t xml:space="preserve"> </w:t>
      </w:r>
      <w:r>
        <w:rPr>
          <w:kern w:val="0"/>
          <w:sz w:val="24"/>
        </w:rPr>
        <w:t>会</w:t>
      </w:r>
    </w:p>
    <w:p w:rsidR="00F93C4E" w:rsidRDefault="00001929">
      <w:pPr>
        <w:autoSpaceDE w:val="0"/>
        <w:autoSpaceDN w:val="0"/>
        <w:adjustRightInd w:val="0"/>
        <w:snapToGrid w:val="0"/>
        <w:spacing w:line="360" w:lineRule="auto"/>
        <w:ind w:right="600" w:firstLineChars="200" w:firstLine="480"/>
        <w:jc w:val="center"/>
        <w:rPr>
          <w:kern w:val="0"/>
          <w:sz w:val="24"/>
        </w:rPr>
      </w:pPr>
      <w:r>
        <w:rPr>
          <w:rFonts w:hint="eastAsia"/>
          <w:kern w:val="0"/>
          <w:sz w:val="24"/>
        </w:rPr>
        <w:t xml:space="preserve">                                          2022</w:t>
      </w:r>
      <w:r>
        <w:rPr>
          <w:rFonts w:hint="eastAsia"/>
          <w:kern w:val="0"/>
          <w:sz w:val="24"/>
        </w:rPr>
        <w:t>年</w:t>
      </w:r>
      <w:r>
        <w:rPr>
          <w:rFonts w:hint="eastAsia"/>
          <w:kern w:val="0"/>
          <w:sz w:val="24"/>
        </w:rPr>
        <w:t>3</w:t>
      </w:r>
      <w:r>
        <w:rPr>
          <w:rFonts w:hint="eastAsia"/>
          <w:kern w:val="0"/>
          <w:sz w:val="24"/>
        </w:rPr>
        <w:t>月</w:t>
      </w:r>
      <w:r>
        <w:rPr>
          <w:rFonts w:hint="eastAsia"/>
          <w:kern w:val="0"/>
          <w:sz w:val="24"/>
        </w:rPr>
        <w:t>26</w:t>
      </w:r>
      <w:r>
        <w:rPr>
          <w:rFonts w:hint="eastAsia"/>
          <w:kern w:val="0"/>
          <w:sz w:val="24"/>
        </w:rPr>
        <w:t>日</w:t>
      </w:r>
    </w:p>
    <w:sectPr w:rsidR="00F93C4E" w:rsidSect="00F93C4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1E4" w:rsidRDefault="003741E4" w:rsidP="00B927F9">
      <w:r>
        <w:separator/>
      </w:r>
    </w:p>
  </w:endnote>
  <w:endnote w:type="continuationSeparator" w:id="0">
    <w:p w:rsidR="003741E4" w:rsidRDefault="003741E4" w:rsidP="00B92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华文仿宋">
    <w:altName w:val="微软雅黑"/>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1E4" w:rsidRDefault="003741E4" w:rsidP="00B927F9">
      <w:r>
        <w:separator/>
      </w:r>
    </w:p>
  </w:footnote>
  <w:footnote w:type="continuationSeparator" w:id="0">
    <w:p w:rsidR="003741E4" w:rsidRDefault="003741E4" w:rsidP="00B92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3B65"/>
    <w:rsid w:val="00001929"/>
    <w:rsid w:val="00006B0F"/>
    <w:rsid w:val="00020F11"/>
    <w:rsid w:val="00033B9B"/>
    <w:rsid w:val="000B67AB"/>
    <w:rsid w:val="000C7541"/>
    <w:rsid w:val="00111E48"/>
    <w:rsid w:val="00132795"/>
    <w:rsid w:val="001446D5"/>
    <w:rsid w:val="00151C2C"/>
    <w:rsid w:val="0015483A"/>
    <w:rsid w:val="001650E6"/>
    <w:rsid w:val="00166610"/>
    <w:rsid w:val="00171E6C"/>
    <w:rsid w:val="00191B17"/>
    <w:rsid w:val="001A4A03"/>
    <w:rsid w:val="001B2459"/>
    <w:rsid w:val="001B5C37"/>
    <w:rsid w:val="001E2D1A"/>
    <w:rsid w:val="002074A7"/>
    <w:rsid w:val="002203EF"/>
    <w:rsid w:val="00221101"/>
    <w:rsid w:val="00230461"/>
    <w:rsid w:val="00246B9B"/>
    <w:rsid w:val="00265355"/>
    <w:rsid w:val="00277AD7"/>
    <w:rsid w:val="002805A7"/>
    <w:rsid w:val="00285B4C"/>
    <w:rsid w:val="00291A78"/>
    <w:rsid w:val="002A4FF1"/>
    <w:rsid w:val="002B084B"/>
    <w:rsid w:val="0031291F"/>
    <w:rsid w:val="00316972"/>
    <w:rsid w:val="003178B2"/>
    <w:rsid w:val="003178B8"/>
    <w:rsid w:val="00330C1F"/>
    <w:rsid w:val="00350154"/>
    <w:rsid w:val="003565C0"/>
    <w:rsid w:val="00367235"/>
    <w:rsid w:val="0036739E"/>
    <w:rsid w:val="00373284"/>
    <w:rsid w:val="003741E4"/>
    <w:rsid w:val="00390CBA"/>
    <w:rsid w:val="003922A9"/>
    <w:rsid w:val="003A57EA"/>
    <w:rsid w:val="003C0A1D"/>
    <w:rsid w:val="003F3536"/>
    <w:rsid w:val="0041024A"/>
    <w:rsid w:val="0043157A"/>
    <w:rsid w:val="00435111"/>
    <w:rsid w:val="00487863"/>
    <w:rsid w:val="004A149A"/>
    <w:rsid w:val="004B22C2"/>
    <w:rsid w:val="004E0AE4"/>
    <w:rsid w:val="00513E13"/>
    <w:rsid w:val="00542269"/>
    <w:rsid w:val="005627D9"/>
    <w:rsid w:val="00584531"/>
    <w:rsid w:val="00587425"/>
    <w:rsid w:val="00591428"/>
    <w:rsid w:val="005A21B7"/>
    <w:rsid w:val="005D1789"/>
    <w:rsid w:val="005E1AB7"/>
    <w:rsid w:val="005E5BB5"/>
    <w:rsid w:val="00600EC2"/>
    <w:rsid w:val="00663F37"/>
    <w:rsid w:val="0068031E"/>
    <w:rsid w:val="006854CE"/>
    <w:rsid w:val="00687E8D"/>
    <w:rsid w:val="006C22AD"/>
    <w:rsid w:val="006C233C"/>
    <w:rsid w:val="006D12FD"/>
    <w:rsid w:val="006D2981"/>
    <w:rsid w:val="00705B32"/>
    <w:rsid w:val="00713950"/>
    <w:rsid w:val="007141A6"/>
    <w:rsid w:val="007234E7"/>
    <w:rsid w:val="00726385"/>
    <w:rsid w:val="00736E55"/>
    <w:rsid w:val="0074292B"/>
    <w:rsid w:val="007564D9"/>
    <w:rsid w:val="007645A9"/>
    <w:rsid w:val="00783AD9"/>
    <w:rsid w:val="0078496F"/>
    <w:rsid w:val="00793F51"/>
    <w:rsid w:val="007B06DA"/>
    <w:rsid w:val="007B3ACF"/>
    <w:rsid w:val="007C0761"/>
    <w:rsid w:val="007C78D1"/>
    <w:rsid w:val="007F3DE8"/>
    <w:rsid w:val="008111F5"/>
    <w:rsid w:val="00832A0A"/>
    <w:rsid w:val="00843570"/>
    <w:rsid w:val="00853F49"/>
    <w:rsid w:val="0085543E"/>
    <w:rsid w:val="00870B26"/>
    <w:rsid w:val="008739BE"/>
    <w:rsid w:val="0089149E"/>
    <w:rsid w:val="008D3843"/>
    <w:rsid w:val="008E3875"/>
    <w:rsid w:val="00902986"/>
    <w:rsid w:val="0091534F"/>
    <w:rsid w:val="00917222"/>
    <w:rsid w:val="00920DC8"/>
    <w:rsid w:val="00932E4B"/>
    <w:rsid w:val="00932EEC"/>
    <w:rsid w:val="00943F11"/>
    <w:rsid w:val="0094462D"/>
    <w:rsid w:val="00953529"/>
    <w:rsid w:val="00953AEE"/>
    <w:rsid w:val="00960749"/>
    <w:rsid w:val="00961F57"/>
    <w:rsid w:val="009910F6"/>
    <w:rsid w:val="009931BF"/>
    <w:rsid w:val="00996CC0"/>
    <w:rsid w:val="009B78C1"/>
    <w:rsid w:val="009B7EC1"/>
    <w:rsid w:val="009C42FE"/>
    <w:rsid w:val="009E2135"/>
    <w:rsid w:val="00A07DD4"/>
    <w:rsid w:val="00A34A93"/>
    <w:rsid w:val="00A5402A"/>
    <w:rsid w:val="00A61DA6"/>
    <w:rsid w:val="00A70F65"/>
    <w:rsid w:val="00A87551"/>
    <w:rsid w:val="00A93D59"/>
    <w:rsid w:val="00AB0F67"/>
    <w:rsid w:val="00AD3C90"/>
    <w:rsid w:val="00AD6F6D"/>
    <w:rsid w:val="00AF7127"/>
    <w:rsid w:val="00B11FF2"/>
    <w:rsid w:val="00B244BF"/>
    <w:rsid w:val="00B311CE"/>
    <w:rsid w:val="00B443F9"/>
    <w:rsid w:val="00B52BDD"/>
    <w:rsid w:val="00B7514E"/>
    <w:rsid w:val="00B8048F"/>
    <w:rsid w:val="00B853B3"/>
    <w:rsid w:val="00B9048E"/>
    <w:rsid w:val="00B927F9"/>
    <w:rsid w:val="00B97431"/>
    <w:rsid w:val="00BA0989"/>
    <w:rsid w:val="00BB3FA2"/>
    <w:rsid w:val="00C07293"/>
    <w:rsid w:val="00C2007A"/>
    <w:rsid w:val="00C24EA7"/>
    <w:rsid w:val="00C34C72"/>
    <w:rsid w:val="00C446DE"/>
    <w:rsid w:val="00C56134"/>
    <w:rsid w:val="00C574A6"/>
    <w:rsid w:val="00C6412E"/>
    <w:rsid w:val="00C86D5F"/>
    <w:rsid w:val="00D0286B"/>
    <w:rsid w:val="00D22E3C"/>
    <w:rsid w:val="00D37D26"/>
    <w:rsid w:val="00D5218D"/>
    <w:rsid w:val="00D7703A"/>
    <w:rsid w:val="00D86307"/>
    <w:rsid w:val="00D90E7A"/>
    <w:rsid w:val="00DA07FC"/>
    <w:rsid w:val="00DB0FC1"/>
    <w:rsid w:val="00DE1AE5"/>
    <w:rsid w:val="00E039C0"/>
    <w:rsid w:val="00E473A0"/>
    <w:rsid w:val="00E71A7D"/>
    <w:rsid w:val="00E8489C"/>
    <w:rsid w:val="00EB16EA"/>
    <w:rsid w:val="00ED6244"/>
    <w:rsid w:val="00F068A8"/>
    <w:rsid w:val="00F07960"/>
    <w:rsid w:val="00F27A08"/>
    <w:rsid w:val="00F43536"/>
    <w:rsid w:val="00F47F42"/>
    <w:rsid w:val="00F66246"/>
    <w:rsid w:val="00F93B65"/>
    <w:rsid w:val="00F93C4E"/>
    <w:rsid w:val="00FD54C6"/>
    <w:rsid w:val="00FF279C"/>
    <w:rsid w:val="00FF5859"/>
    <w:rsid w:val="00FF740F"/>
    <w:rsid w:val="0B8D3849"/>
    <w:rsid w:val="15D74BEE"/>
    <w:rsid w:val="1EE00524"/>
    <w:rsid w:val="2F5B5A9E"/>
    <w:rsid w:val="37551F4C"/>
    <w:rsid w:val="70FC230E"/>
    <w:rsid w:val="758E5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semiHidden="1"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93C4E"/>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F93C4E"/>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F93C4E"/>
    <w:pPr>
      <w:ind w:firstLineChars="100" w:firstLine="420"/>
    </w:pPr>
    <w:rPr>
      <w:rFonts w:ascii="Calibri" w:hAnsi="Calibri"/>
      <w:szCs w:val="22"/>
    </w:rPr>
  </w:style>
  <w:style w:type="paragraph" w:styleId="a6">
    <w:name w:val="Body Text"/>
    <w:basedOn w:val="a"/>
    <w:qFormat/>
    <w:rsid w:val="00F93C4E"/>
    <w:pPr>
      <w:spacing w:after="120"/>
    </w:pPr>
    <w:rPr>
      <w:szCs w:val="24"/>
    </w:rPr>
  </w:style>
  <w:style w:type="paragraph" w:styleId="a5">
    <w:name w:val="Balloon Text"/>
    <w:basedOn w:val="a"/>
    <w:semiHidden/>
    <w:qFormat/>
    <w:rsid w:val="00F93C4E"/>
    <w:rPr>
      <w:sz w:val="18"/>
      <w:szCs w:val="18"/>
    </w:rPr>
  </w:style>
  <w:style w:type="paragraph" w:styleId="a7">
    <w:name w:val="Body Text Indent"/>
    <w:basedOn w:val="a"/>
    <w:link w:val="Char"/>
    <w:rsid w:val="00F93C4E"/>
    <w:pPr>
      <w:spacing w:after="120"/>
      <w:ind w:leftChars="200" w:left="420"/>
    </w:pPr>
    <w:rPr>
      <w:szCs w:val="24"/>
    </w:rPr>
  </w:style>
  <w:style w:type="paragraph" w:styleId="a8">
    <w:name w:val="footer"/>
    <w:basedOn w:val="a"/>
    <w:link w:val="Char0"/>
    <w:qFormat/>
    <w:rsid w:val="00F93C4E"/>
    <w:pPr>
      <w:tabs>
        <w:tab w:val="center" w:pos="4153"/>
        <w:tab w:val="right" w:pos="8306"/>
      </w:tabs>
      <w:snapToGrid w:val="0"/>
      <w:jc w:val="left"/>
    </w:pPr>
    <w:rPr>
      <w:sz w:val="18"/>
      <w:szCs w:val="18"/>
    </w:rPr>
  </w:style>
  <w:style w:type="paragraph" w:styleId="a9">
    <w:name w:val="header"/>
    <w:basedOn w:val="a"/>
    <w:link w:val="Char1"/>
    <w:rsid w:val="00F93C4E"/>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F93C4E"/>
    <w:pPr>
      <w:tabs>
        <w:tab w:val="right" w:leader="dot" w:pos="8296"/>
      </w:tabs>
      <w:spacing w:line="360" w:lineRule="auto"/>
      <w:jc w:val="center"/>
    </w:pPr>
    <w:rPr>
      <w:rFonts w:ascii="华文仿宋" w:eastAsia="华文仿宋" w:hAnsi="华文仿宋"/>
      <w:kern w:val="0"/>
      <w:sz w:val="24"/>
      <w:szCs w:val="24"/>
    </w:rPr>
  </w:style>
  <w:style w:type="paragraph" w:styleId="HTML">
    <w:name w:val="HTML Preformatted"/>
    <w:basedOn w:val="a"/>
    <w:link w:val="HTMLChar"/>
    <w:uiPriority w:val="99"/>
    <w:qFormat/>
    <w:rsid w:val="00F93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kern w:val="0"/>
      <w:szCs w:val="21"/>
    </w:rPr>
  </w:style>
  <w:style w:type="paragraph" w:styleId="aa">
    <w:name w:val="Normal (Web)"/>
    <w:basedOn w:val="a"/>
    <w:uiPriority w:val="99"/>
    <w:rsid w:val="00F93C4E"/>
    <w:pPr>
      <w:widowControl/>
      <w:spacing w:before="100" w:beforeAutospacing="1" w:after="100" w:afterAutospacing="1"/>
      <w:jc w:val="left"/>
    </w:pPr>
    <w:rPr>
      <w:rFonts w:ascii="宋体" w:hAnsi="宋体" w:cs="宋体"/>
      <w:color w:val="000000"/>
      <w:kern w:val="0"/>
      <w:sz w:val="24"/>
      <w:szCs w:val="24"/>
    </w:rPr>
  </w:style>
  <w:style w:type="paragraph" w:customStyle="1" w:styleId="Char2">
    <w:name w:val="Char"/>
    <w:basedOn w:val="a"/>
    <w:qFormat/>
    <w:rsid w:val="00F93C4E"/>
  </w:style>
  <w:style w:type="paragraph" w:customStyle="1" w:styleId="Default">
    <w:name w:val="Default"/>
    <w:link w:val="DefaultChar"/>
    <w:rsid w:val="00F93C4E"/>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qFormat/>
    <w:rsid w:val="00F93C4E"/>
  </w:style>
  <w:style w:type="paragraph" w:customStyle="1" w:styleId="CM28">
    <w:name w:val="CM28"/>
    <w:basedOn w:val="a"/>
    <w:next w:val="a"/>
    <w:qFormat/>
    <w:rsid w:val="00F93C4E"/>
    <w:pPr>
      <w:autoSpaceDE w:val="0"/>
      <w:autoSpaceDN w:val="0"/>
      <w:adjustRightInd w:val="0"/>
      <w:spacing w:after="550"/>
      <w:jc w:val="left"/>
    </w:pPr>
    <w:rPr>
      <w:rFonts w:ascii="黑体" w:eastAsia="黑体" w:cs="黑体"/>
      <w:kern w:val="0"/>
      <w:sz w:val="24"/>
      <w:szCs w:val="24"/>
    </w:rPr>
  </w:style>
  <w:style w:type="character" w:customStyle="1" w:styleId="Char1">
    <w:name w:val="页眉 Char"/>
    <w:link w:val="a9"/>
    <w:rsid w:val="00F93C4E"/>
    <w:rPr>
      <w:kern w:val="2"/>
      <w:sz w:val="18"/>
      <w:szCs w:val="18"/>
    </w:rPr>
  </w:style>
  <w:style w:type="character" w:customStyle="1" w:styleId="HTMLChar">
    <w:name w:val="HTML 预设格式 Char"/>
    <w:basedOn w:val="a1"/>
    <w:link w:val="HTML"/>
    <w:uiPriority w:val="99"/>
    <w:qFormat/>
    <w:rsid w:val="00F93C4E"/>
    <w:rPr>
      <w:rFonts w:ascii="Arial" w:hAnsi="Arial" w:cs="Arial"/>
      <w:sz w:val="21"/>
      <w:szCs w:val="21"/>
    </w:rPr>
  </w:style>
  <w:style w:type="character" w:customStyle="1" w:styleId="DefaultChar">
    <w:name w:val="Default Char"/>
    <w:basedOn w:val="a1"/>
    <w:link w:val="Default"/>
    <w:locked/>
    <w:rsid w:val="00F93C4E"/>
    <w:rPr>
      <w:rFonts w:ascii="宋体" w:cs="宋体"/>
      <w:color w:val="000000"/>
      <w:sz w:val="24"/>
      <w:szCs w:val="24"/>
      <w:lang w:val="en-US" w:eastAsia="zh-CN" w:bidi="ar-SA"/>
    </w:rPr>
  </w:style>
  <w:style w:type="character" w:customStyle="1" w:styleId="Char0">
    <w:name w:val="页脚 Char"/>
    <w:link w:val="a8"/>
    <w:qFormat/>
    <w:rsid w:val="00F93C4E"/>
    <w:rPr>
      <w:kern w:val="2"/>
      <w:sz w:val="18"/>
      <w:szCs w:val="18"/>
    </w:rPr>
  </w:style>
  <w:style w:type="character" w:customStyle="1" w:styleId="da">
    <w:name w:val="da"/>
    <w:basedOn w:val="a1"/>
    <w:uiPriority w:val="99"/>
    <w:rsid w:val="00F93C4E"/>
    <w:rPr>
      <w:rFonts w:cs="Times New Roman"/>
    </w:rPr>
  </w:style>
  <w:style w:type="character" w:customStyle="1" w:styleId="Char">
    <w:name w:val="正文文本缩进 Char"/>
    <w:basedOn w:val="a1"/>
    <w:link w:val="a7"/>
    <w:qFormat/>
    <w:rsid w:val="00F93C4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253</Words>
  <Characters>1446</Characters>
  <Application>Microsoft Office Word</Application>
  <DocSecurity>0</DocSecurity>
  <Lines>12</Lines>
  <Paragraphs>3</Paragraphs>
  <ScaleCrop>false</ScaleCrop>
  <Company>MC SYSTEM</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证券代码：000759        证券简称：武汉中百        公告编号：2011-号</dc:title>
  <dc:creator>陈雯</dc:creator>
  <cp:lastModifiedBy>Administrator</cp:lastModifiedBy>
  <cp:revision>4</cp:revision>
  <cp:lastPrinted>2016-10-21T01:35:00Z</cp:lastPrinted>
  <dcterms:created xsi:type="dcterms:W3CDTF">2019-03-25T03:40:00Z</dcterms:created>
  <dcterms:modified xsi:type="dcterms:W3CDTF">2022-03-24T03:19:00Z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