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7F96" w:rsidRDefault="004F759A">
      <w:pPr>
        <w:adjustRightInd w:val="0"/>
        <w:snapToGrid w:val="0"/>
        <w:jc w:val="center"/>
        <w:rPr>
          <w:rFonts w:asciiTheme="minorEastAsia" w:eastAsiaTheme="minorEastAsia" w:hAnsiTheme="minorEastAsia"/>
          <w:kern w:val="0"/>
          <w:sz w:val="24"/>
        </w:rPr>
      </w:pPr>
      <w:r>
        <w:rPr>
          <w:rFonts w:asciiTheme="minorEastAsia" w:eastAsiaTheme="minorEastAsia" w:hAnsiTheme="minorEastAsia"/>
          <w:kern w:val="0"/>
          <w:sz w:val="24"/>
        </w:rPr>
        <w:t>证券代码：000759         证券简称：中百集团        公告编号：202</w:t>
      </w:r>
      <w:r>
        <w:rPr>
          <w:rFonts w:asciiTheme="minorEastAsia" w:eastAsiaTheme="minorEastAsia" w:hAnsiTheme="minorEastAsia" w:hint="eastAsia"/>
          <w:kern w:val="0"/>
          <w:sz w:val="24"/>
        </w:rPr>
        <w:t>2</w:t>
      </w:r>
      <w:r>
        <w:rPr>
          <w:rFonts w:asciiTheme="minorEastAsia" w:eastAsiaTheme="minorEastAsia" w:hAnsiTheme="minorEastAsia"/>
          <w:kern w:val="0"/>
          <w:sz w:val="24"/>
        </w:rPr>
        <w:t>-0</w:t>
      </w:r>
      <w:r>
        <w:rPr>
          <w:rFonts w:asciiTheme="minorEastAsia" w:eastAsiaTheme="minorEastAsia" w:hAnsiTheme="minorEastAsia" w:hint="eastAsia"/>
          <w:kern w:val="0"/>
          <w:sz w:val="24"/>
        </w:rPr>
        <w:t>08</w:t>
      </w:r>
    </w:p>
    <w:p w:rsidR="00BA7F96" w:rsidRDefault="00BA7F96">
      <w:pPr>
        <w:adjustRightInd w:val="0"/>
        <w:snapToGrid w:val="0"/>
        <w:jc w:val="center"/>
        <w:rPr>
          <w:rStyle w:val="da"/>
          <w:b/>
          <w:kern w:val="0"/>
          <w:sz w:val="24"/>
        </w:rPr>
      </w:pPr>
    </w:p>
    <w:p w:rsidR="00BA7F96" w:rsidRDefault="004F759A">
      <w:pPr>
        <w:pStyle w:val="a9"/>
        <w:adjustRightInd w:val="0"/>
        <w:snapToGrid w:val="0"/>
        <w:spacing w:before="0" w:beforeAutospacing="0" w:after="0" w:afterAutospacing="0"/>
        <w:ind w:rightChars="85" w:right="178"/>
        <w:jc w:val="center"/>
        <w:rPr>
          <w:rStyle w:val="da"/>
          <w:rFonts w:ascii="Times New Roman" w:eastAsia="黑体" w:hAnsi="Times New Roman" w:cs="Times New Roman"/>
          <w:color w:val="auto"/>
          <w:sz w:val="36"/>
          <w:szCs w:val="36"/>
        </w:rPr>
      </w:pPr>
      <w:r>
        <w:rPr>
          <w:rStyle w:val="da"/>
          <w:rFonts w:ascii="Times New Roman" w:eastAsia="黑体" w:hAnsi="Times New Roman" w:cs="Times New Roman"/>
          <w:color w:val="auto"/>
          <w:sz w:val="36"/>
          <w:szCs w:val="36"/>
        </w:rPr>
        <w:t>中百控股集团股份有限公司</w:t>
      </w:r>
    </w:p>
    <w:p w:rsidR="00BA7F96" w:rsidRDefault="004F759A">
      <w:pPr>
        <w:pStyle w:val="a9"/>
        <w:adjustRightInd w:val="0"/>
        <w:snapToGrid w:val="0"/>
        <w:spacing w:before="0" w:beforeAutospacing="0" w:after="0" w:afterAutospacing="0"/>
        <w:ind w:rightChars="85" w:right="178"/>
        <w:jc w:val="center"/>
        <w:rPr>
          <w:rStyle w:val="da"/>
          <w:rFonts w:ascii="Times New Roman" w:eastAsia="黑体" w:hAnsi="Times New Roman" w:cs="Times New Roman"/>
          <w:color w:val="auto"/>
          <w:sz w:val="36"/>
          <w:szCs w:val="36"/>
        </w:rPr>
      </w:pPr>
      <w:r>
        <w:rPr>
          <w:rStyle w:val="da"/>
          <w:rFonts w:ascii="Times New Roman" w:eastAsia="黑体" w:hAnsi="Times New Roman" w:cs="Times New Roman"/>
          <w:color w:val="auto"/>
          <w:sz w:val="36"/>
          <w:szCs w:val="36"/>
        </w:rPr>
        <w:t>关于</w:t>
      </w:r>
      <w:r>
        <w:rPr>
          <w:rStyle w:val="da"/>
          <w:rFonts w:ascii="Times New Roman" w:eastAsia="黑体" w:hAnsi="Times New Roman" w:cs="Times New Roman" w:hint="eastAsia"/>
          <w:color w:val="auto"/>
          <w:sz w:val="36"/>
          <w:szCs w:val="36"/>
        </w:rPr>
        <w:t>2021</w:t>
      </w:r>
      <w:r>
        <w:rPr>
          <w:rStyle w:val="da"/>
          <w:rFonts w:ascii="Times New Roman" w:eastAsia="黑体" w:hAnsi="Times New Roman" w:cs="Times New Roman" w:hint="eastAsia"/>
          <w:color w:val="auto"/>
          <w:sz w:val="36"/>
          <w:szCs w:val="36"/>
        </w:rPr>
        <w:t>年度利润分配预案</w:t>
      </w:r>
      <w:r>
        <w:rPr>
          <w:rStyle w:val="da"/>
          <w:rFonts w:ascii="Times New Roman" w:eastAsia="黑体" w:hAnsi="Times New Roman" w:cs="Times New Roman"/>
          <w:color w:val="auto"/>
          <w:sz w:val="36"/>
          <w:szCs w:val="36"/>
        </w:rPr>
        <w:t>的公告</w:t>
      </w:r>
    </w:p>
    <w:p w:rsidR="00BA7F96" w:rsidRDefault="00BA7F96">
      <w:pPr>
        <w:pStyle w:val="a9"/>
        <w:adjustRightInd w:val="0"/>
        <w:snapToGrid w:val="0"/>
        <w:spacing w:before="0" w:beforeAutospacing="0" w:after="0" w:afterAutospacing="0"/>
        <w:ind w:rightChars="85" w:right="178"/>
        <w:jc w:val="center"/>
        <w:rPr>
          <w:rStyle w:val="da"/>
          <w:rFonts w:ascii="Times New Roman" w:eastAsia="黑体" w:hAnsi="Times New Roman" w:cs="Times New Roman"/>
          <w:color w:val="auto"/>
          <w:sz w:val="36"/>
          <w:szCs w:val="36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BA7F96">
        <w:tc>
          <w:tcPr>
            <w:tcW w:w="8522" w:type="dxa"/>
          </w:tcPr>
          <w:p w:rsidR="00BA7F96" w:rsidRDefault="004F759A">
            <w:pPr>
              <w:pStyle w:val="Default"/>
              <w:spacing w:line="400" w:lineRule="exact"/>
              <w:ind w:firstLineChars="200" w:firstLine="480"/>
              <w:jc w:val="both"/>
              <w:rPr>
                <w:rFonts w:ascii="楷体" w:eastAsia="楷体" w:hAnsi="楷体"/>
              </w:rPr>
            </w:pPr>
            <w:r>
              <w:rPr>
                <w:rFonts w:ascii="楷体" w:eastAsia="楷体" w:hAnsi="楷体" w:hint="eastAsia"/>
              </w:rPr>
              <w:t>本公司及董事会全体成员保证信息披露的内容真实、准确、完整，没有虚假记载、误导性陈述或者重大遗漏。</w:t>
            </w:r>
          </w:p>
        </w:tc>
      </w:tr>
    </w:tbl>
    <w:p w:rsidR="00BA7F96" w:rsidRDefault="00BA7F96">
      <w:pPr>
        <w:spacing w:line="360" w:lineRule="auto"/>
      </w:pPr>
    </w:p>
    <w:p w:rsidR="00BA7F96" w:rsidRDefault="004F759A">
      <w:pPr>
        <w:adjustRightInd w:val="0"/>
        <w:snapToGrid w:val="0"/>
        <w:spacing w:line="420" w:lineRule="exact"/>
        <w:ind w:firstLineChars="200" w:firstLine="480"/>
        <w:rPr>
          <w:rFonts w:ascii="宋体" w:hAnsi="宋体" w:cs="宋体"/>
          <w:bCs/>
          <w:sz w:val="24"/>
          <w:highlight w:val="yellow"/>
        </w:rPr>
      </w:pPr>
      <w:r>
        <w:rPr>
          <w:rFonts w:asciiTheme="minorEastAsia" w:hAnsiTheme="minorEastAsia"/>
          <w:sz w:val="24"/>
          <w:szCs w:val="24"/>
        </w:rPr>
        <w:t>20</w:t>
      </w:r>
      <w:r>
        <w:rPr>
          <w:rFonts w:asciiTheme="minorEastAsia" w:hAnsiTheme="minorEastAsia" w:hint="eastAsia"/>
          <w:sz w:val="24"/>
          <w:szCs w:val="24"/>
        </w:rPr>
        <w:t>22</w:t>
      </w:r>
      <w:r>
        <w:rPr>
          <w:rFonts w:asciiTheme="minorEastAsia" w:hAnsiTheme="minorEastAsia"/>
          <w:sz w:val="24"/>
          <w:szCs w:val="24"/>
        </w:rPr>
        <w:t>年</w:t>
      </w:r>
      <w:r>
        <w:rPr>
          <w:rFonts w:asciiTheme="minorEastAsia" w:hAnsiTheme="minorEastAsia" w:hint="eastAsia"/>
          <w:sz w:val="24"/>
          <w:szCs w:val="24"/>
        </w:rPr>
        <w:t>3</w:t>
      </w:r>
      <w:r>
        <w:rPr>
          <w:rFonts w:asciiTheme="minorEastAsia" w:hAnsiTheme="minorEastAsia"/>
          <w:sz w:val="24"/>
          <w:szCs w:val="24"/>
        </w:rPr>
        <w:t>月</w:t>
      </w:r>
      <w:r>
        <w:rPr>
          <w:rFonts w:asciiTheme="minorEastAsia" w:hAnsiTheme="minorEastAsia" w:hint="eastAsia"/>
          <w:sz w:val="24"/>
          <w:szCs w:val="24"/>
        </w:rPr>
        <w:t>24</w:t>
      </w:r>
      <w:r>
        <w:rPr>
          <w:rFonts w:asciiTheme="minorEastAsia" w:hAnsiTheme="minorEastAsia"/>
          <w:sz w:val="24"/>
          <w:szCs w:val="24"/>
        </w:rPr>
        <w:t>日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中百控股集团股份有限公司（以下简称“公司”）召开第</w:t>
      </w:r>
      <w:r>
        <w:rPr>
          <w:rFonts w:asciiTheme="minorEastAsia" w:hAnsiTheme="minorEastAsia" w:hint="eastAsia"/>
          <w:sz w:val="24"/>
          <w:szCs w:val="24"/>
        </w:rPr>
        <w:t>十</w:t>
      </w:r>
      <w:r>
        <w:rPr>
          <w:rFonts w:asciiTheme="minorEastAsia" w:hAnsiTheme="minorEastAsia"/>
          <w:sz w:val="24"/>
          <w:szCs w:val="24"/>
        </w:rPr>
        <w:t>届董事会第</w:t>
      </w:r>
      <w:r>
        <w:rPr>
          <w:rFonts w:asciiTheme="minorEastAsia" w:hAnsiTheme="minorEastAsia" w:hint="eastAsia"/>
          <w:sz w:val="24"/>
          <w:szCs w:val="24"/>
        </w:rPr>
        <w:t>九</w:t>
      </w:r>
      <w:r w:rsidR="00F87C1A">
        <w:rPr>
          <w:rFonts w:asciiTheme="minorEastAsia" w:hAnsiTheme="minorEastAsia"/>
          <w:sz w:val="24"/>
          <w:szCs w:val="24"/>
        </w:rPr>
        <w:t>次会议，审议并通过了《</w:t>
      </w:r>
      <w:r>
        <w:rPr>
          <w:rFonts w:asciiTheme="minorEastAsia" w:hAnsiTheme="minorEastAsia" w:hint="eastAsia"/>
          <w:sz w:val="24"/>
          <w:szCs w:val="24"/>
        </w:rPr>
        <w:t>2021年度利润分配预案</w:t>
      </w:r>
      <w:r>
        <w:rPr>
          <w:rFonts w:asciiTheme="minorEastAsia" w:hAnsiTheme="minorEastAsia"/>
          <w:sz w:val="24"/>
          <w:szCs w:val="24"/>
        </w:rPr>
        <w:t>》。该议案尚需提交公司</w:t>
      </w:r>
      <w:r>
        <w:rPr>
          <w:rFonts w:asciiTheme="minorEastAsia" w:hAnsiTheme="minorEastAsia" w:hint="eastAsia"/>
          <w:sz w:val="24"/>
          <w:szCs w:val="24"/>
        </w:rPr>
        <w:t>2021年年度</w:t>
      </w:r>
      <w:r>
        <w:rPr>
          <w:rFonts w:asciiTheme="minorEastAsia" w:hAnsiTheme="minorEastAsia"/>
          <w:sz w:val="24"/>
          <w:szCs w:val="24"/>
        </w:rPr>
        <w:t>股东大会审议</w:t>
      </w:r>
      <w:r>
        <w:rPr>
          <w:rFonts w:asciiTheme="minorEastAsia" w:hAnsiTheme="minorEastAsia" w:hint="eastAsia"/>
          <w:sz w:val="24"/>
          <w:szCs w:val="24"/>
        </w:rPr>
        <w:t>批准</w:t>
      </w:r>
      <w:r>
        <w:rPr>
          <w:rFonts w:asciiTheme="minorEastAsia" w:hAnsiTheme="minorEastAsia"/>
          <w:sz w:val="24"/>
          <w:szCs w:val="24"/>
        </w:rPr>
        <w:t>。现将20</w:t>
      </w:r>
      <w:r>
        <w:rPr>
          <w:rFonts w:asciiTheme="minorEastAsia" w:hAnsiTheme="minorEastAsia" w:hint="eastAsia"/>
          <w:sz w:val="24"/>
          <w:szCs w:val="24"/>
        </w:rPr>
        <w:t>21</w:t>
      </w:r>
      <w:r>
        <w:rPr>
          <w:rFonts w:asciiTheme="minorEastAsia" w:hAnsiTheme="minorEastAsia"/>
          <w:sz w:val="24"/>
          <w:szCs w:val="24"/>
        </w:rPr>
        <w:t>年度利润分配预案公告如下：</w:t>
      </w:r>
    </w:p>
    <w:p w:rsidR="00BA7F96" w:rsidRDefault="004F759A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黑体" w:eastAsia="黑体" w:hAnsi="黑体" w:cs="宋体" w:hint="eastAsia"/>
          <w:bCs/>
          <w:kern w:val="0"/>
          <w:sz w:val="24"/>
        </w:rPr>
        <w:t>一、公司2021年度利润分配预案</w:t>
      </w:r>
    </w:p>
    <w:p w:rsidR="00BA7F96" w:rsidRDefault="004F759A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经</w:t>
      </w:r>
      <w:r>
        <w:rPr>
          <w:rFonts w:ascii="宋体" w:hAnsi="宋体" w:cs="宋体" w:hint="eastAsia"/>
          <w:bCs/>
          <w:sz w:val="24"/>
        </w:rPr>
        <w:t>中审众环会计师事务所（特殊普通合伙）审计，</w:t>
      </w:r>
      <w:r>
        <w:rPr>
          <w:rFonts w:ascii="宋体" w:hAnsi="宋体" w:cs="宋体" w:hint="eastAsia"/>
          <w:bCs/>
          <w:kern w:val="0"/>
          <w:sz w:val="24"/>
        </w:rPr>
        <w:t>母公司2021年度税后净利润-20,233,796.62元，提取法定盈余公积金及任意盈余公积金共计0元，2021年度实现的可供股东分配利润为-20,233,796.62元，</w:t>
      </w:r>
      <w:r>
        <w:rPr>
          <w:rFonts w:ascii="宋体" w:hAnsi="宋体" w:cs="宋体" w:hint="eastAsia"/>
          <w:bCs/>
          <w:sz w:val="24"/>
        </w:rPr>
        <w:t>加年初未分配利润767,863,989.14元</w:t>
      </w:r>
      <w:r>
        <w:rPr>
          <w:rFonts w:ascii="宋体" w:hAnsi="宋体" w:cs="宋体" w:hint="eastAsia"/>
          <w:bCs/>
          <w:kern w:val="0"/>
          <w:sz w:val="24"/>
        </w:rPr>
        <w:t>，减2021年分</w:t>
      </w:r>
      <w:r>
        <w:rPr>
          <w:rFonts w:ascii="宋体" w:hAnsi="宋体" w:cs="宋体" w:hint="eastAsia"/>
          <w:bCs/>
          <w:sz w:val="24"/>
        </w:rPr>
        <w:t>派2020年度现金股利32,801,474.30</w:t>
      </w:r>
      <w:r>
        <w:rPr>
          <w:rFonts w:ascii="宋体" w:hAnsi="宋体" w:cs="宋体" w:hint="eastAsia"/>
          <w:bCs/>
          <w:kern w:val="0"/>
          <w:sz w:val="24"/>
        </w:rPr>
        <w:t>元，2021年度累计可供股东分配的利润为714,828,718.22元。</w:t>
      </w:r>
    </w:p>
    <w:p w:rsidR="00BA7F96" w:rsidRDefault="004F759A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基于公司2021年经营实绩，根据《公司章程》的规定，不具备分红条件，公司2021年度利润分配预案为：不派发现金红利，不送红股，不以资本公积金转增股本。</w:t>
      </w:r>
    </w:p>
    <w:p w:rsidR="00BA7F96" w:rsidRDefault="004F759A">
      <w:pPr>
        <w:adjustRightInd w:val="0"/>
        <w:snapToGrid w:val="0"/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公司2021年度利润分配预案符合公司长期发展规划的需要，符合相关法律、法规以及《公司章程》的规定，具备合法性、合规性、合理性。</w:t>
      </w:r>
    </w:p>
    <w:p w:rsidR="00BA7F96" w:rsidRDefault="004F759A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黑体" w:eastAsia="黑体" w:hAnsi="黑体" w:cs="宋体" w:hint="eastAsia"/>
          <w:bCs/>
          <w:kern w:val="0"/>
          <w:sz w:val="24"/>
        </w:rPr>
        <w:t>二、2021年度拟不进行利润分配的原因说明</w:t>
      </w:r>
    </w:p>
    <w:p w:rsidR="00BA7F96" w:rsidRDefault="004F759A">
      <w:pPr>
        <w:spacing w:line="360" w:lineRule="auto"/>
        <w:ind w:firstLineChars="200" w:firstLine="480"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根据《公司章程》第</w:t>
      </w:r>
      <w:r>
        <w:rPr>
          <w:rFonts w:ascii="宋体" w:hAnsi="宋体" w:cs="宋体"/>
          <w:bCs/>
          <w:kern w:val="0"/>
          <w:sz w:val="24"/>
        </w:rPr>
        <w:t>一百六十八条</w:t>
      </w:r>
      <w:r>
        <w:rPr>
          <w:rFonts w:ascii="宋体" w:hAnsi="宋体" w:cs="宋体" w:hint="eastAsia"/>
          <w:bCs/>
          <w:kern w:val="0"/>
          <w:sz w:val="24"/>
        </w:rPr>
        <w:t>“</w:t>
      </w:r>
      <w:r>
        <w:rPr>
          <w:rFonts w:ascii="宋体" w:hAnsi="宋体" w:cs="宋体"/>
          <w:bCs/>
          <w:kern w:val="0"/>
          <w:sz w:val="24"/>
        </w:rPr>
        <w:t>公司年度实现盈利且累计未分配利润为正值，在不影响公司生产经营资金需求的情况下，公司原则上每年进行一次现金分红</w:t>
      </w:r>
      <w:r>
        <w:rPr>
          <w:rFonts w:ascii="宋体" w:hAnsi="宋体" w:cs="宋体" w:hint="eastAsia"/>
          <w:bCs/>
          <w:kern w:val="0"/>
          <w:sz w:val="24"/>
        </w:rPr>
        <w:t>”之规定，公司2021年度当期亏损，不具备分红条件，因此2021年度不进行利润分配。</w:t>
      </w:r>
    </w:p>
    <w:p w:rsidR="00BA7F96" w:rsidRDefault="004F759A">
      <w:pPr>
        <w:spacing w:line="360" w:lineRule="auto"/>
        <w:ind w:firstLineChars="200" w:firstLine="480"/>
        <w:rPr>
          <w:rFonts w:ascii="黑体" w:eastAsia="黑体" w:hAnsi="黑体" w:cs="宋体"/>
          <w:bCs/>
          <w:kern w:val="0"/>
          <w:sz w:val="24"/>
        </w:rPr>
      </w:pPr>
      <w:r>
        <w:rPr>
          <w:rFonts w:ascii="黑体" w:eastAsia="黑体" w:hAnsi="黑体" w:cs="宋体" w:hint="eastAsia"/>
          <w:bCs/>
          <w:kern w:val="0"/>
          <w:sz w:val="24"/>
        </w:rPr>
        <w:t>三、公司未分配利润的用途和计划</w:t>
      </w:r>
    </w:p>
    <w:p w:rsidR="00BA7F96" w:rsidRDefault="004F759A">
      <w:pPr>
        <w:spacing w:line="360" w:lineRule="auto"/>
        <w:ind w:firstLineChars="200" w:firstLine="480"/>
        <w:rPr>
          <w:rFonts w:ascii="Times New Roman" w:hAnsi="宋体"/>
          <w:bCs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>公司2021年度累积未分配利润滚存至下一年度，以满足公司数字化建设、网点发展、日常运营和未来利润分配的需求。公司将一如既往地重视以现金分红</w:t>
      </w:r>
      <w:r>
        <w:rPr>
          <w:rFonts w:ascii="宋体" w:hAnsi="宋体" w:cs="宋体" w:hint="eastAsia"/>
          <w:bCs/>
          <w:kern w:val="0"/>
          <w:sz w:val="24"/>
        </w:rPr>
        <w:lastRenderedPageBreak/>
        <w:t>形式对投资者进行回报，严格按照相关法律法规和《公司章程》等规定，并结合公司经营发展实际情况，从有利于公司发展和投资者回报的角度出发，积极执行公司的利润分配政策，与全体投资者共享公司成长和发展的成果。</w:t>
      </w:r>
    </w:p>
    <w:p w:rsidR="00BA7F96" w:rsidRDefault="004F759A">
      <w:pPr>
        <w:adjustRightInd w:val="0"/>
        <w:snapToGrid w:val="0"/>
        <w:spacing w:line="420" w:lineRule="exact"/>
        <w:ind w:firstLineChars="200" w:firstLine="480"/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t>四</w:t>
      </w:r>
      <w:r>
        <w:rPr>
          <w:rFonts w:ascii="黑体" w:eastAsia="黑体" w:hAnsi="黑体"/>
          <w:bCs/>
          <w:sz w:val="24"/>
        </w:rPr>
        <w:t xml:space="preserve">、公司董事会意见 </w:t>
      </w:r>
    </w:p>
    <w:p w:rsidR="00BA7F96" w:rsidRDefault="004F759A">
      <w:pPr>
        <w:adjustRightInd w:val="0"/>
        <w:snapToGrid w:val="0"/>
        <w:spacing w:line="420" w:lineRule="exact"/>
        <w:ind w:firstLineChars="200" w:firstLine="480"/>
        <w:rPr>
          <w:rFonts w:ascii="Times New Roman" w:hAnsi="宋体"/>
          <w:bCs/>
          <w:sz w:val="24"/>
        </w:rPr>
      </w:pPr>
      <w:r>
        <w:rPr>
          <w:rFonts w:ascii="Times New Roman" w:hAnsi="宋体"/>
          <w:bCs/>
          <w:sz w:val="24"/>
        </w:rPr>
        <w:t>董事会认为：公司</w:t>
      </w:r>
      <w:r>
        <w:rPr>
          <w:rFonts w:ascii="Times New Roman" w:hAnsi="宋体"/>
          <w:bCs/>
          <w:sz w:val="24"/>
        </w:rPr>
        <w:t>20</w:t>
      </w:r>
      <w:r>
        <w:rPr>
          <w:rFonts w:ascii="Times New Roman" w:hAnsi="宋体" w:hint="eastAsia"/>
          <w:bCs/>
          <w:sz w:val="24"/>
        </w:rPr>
        <w:t>21</w:t>
      </w:r>
      <w:r>
        <w:rPr>
          <w:rFonts w:ascii="Times New Roman" w:hAnsi="宋体"/>
          <w:bCs/>
          <w:sz w:val="24"/>
        </w:rPr>
        <w:t>年度利润分配预案符合公司的实际情况和全体股东</w:t>
      </w:r>
      <w:r>
        <w:rPr>
          <w:rFonts w:ascii="Times New Roman" w:hAnsi="宋体"/>
          <w:bCs/>
          <w:sz w:val="24"/>
        </w:rPr>
        <w:t xml:space="preserve"> </w:t>
      </w:r>
      <w:r>
        <w:rPr>
          <w:rFonts w:ascii="Times New Roman" w:hAnsi="宋体"/>
          <w:bCs/>
          <w:sz w:val="24"/>
        </w:rPr>
        <w:t>的长远利益，符合相关法律、法规以及《</w:t>
      </w:r>
      <w:r w:rsidR="007A3BA2">
        <w:rPr>
          <w:rFonts w:ascii="Times New Roman" w:hAnsi="宋体"/>
          <w:bCs/>
          <w:sz w:val="24"/>
        </w:rPr>
        <w:t>公司</w:t>
      </w:r>
      <w:r>
        <w:rPr>
          <w:rFonts w:ascii="Times New Roman" w:hAnsi="宋体"/>
          <w:bCs/>
          <w:sz w:val="24"/>
        </w:rPr>
        <w:t>章程》的规定，不存在损害公司及</w:t>
      </w:r>
      <w:r>
        <w:rPr>
          <w:rFonts w:ascii="Times New Roman" w:hAnsi="宋体"/>
          <w:bCs/>
          <w:sz w:val="24"/>
        </w:rPr>
        <w:t xml:space="preserve"> </w:t>
      </w:r>
      <w:r>
        <w:rPr>
          <w:rFonts w:ascii="Times New Roman" w:hAnsi="宋体"/>
          <w:bCs/>
          <w:sz w:val="24"/>
        </w:rPr>
        <w:t>全体股东尤其中小股东利益的情形，一致同意将《</w:t>
      </w:r>
      <w:r>
        <w:rPr>
          <w:rFonts w:ascii="Times New Roman" w:hAnsi="宋体"/>
          <w:bCs/>
          <w:sz w:val="24"/>
        </w:rPr>
        <w:t>20</w:t>
      </w:r>
      <w:r>
        <w:rPr>
          <w:rFonts w:ascii="Times New Roman" w:hAnsi="宋体" w:hint="eastAsia"/>
          <w:bCs/>
          <w:sz w:val="24"/>
        </w:rPr>
        <w:t>21</w:t>
      </w:r>
      <w:r>
        <w:rPr>
          <w:rFonts w:ascii="Times New Roman" w:hAnsi="宋体"/>
          <w:bCs/>
          <w:sz w:val="24"/>
        </w:rPr>
        <w:t>年度利润分配预案》提交公司股东大会审议。</w:t>
      </w:r>
    </w:p>
    <w:p w:rsidR="00BA7F96" w:rsidRDefault="004F759A">
      <w:pPr>
        <w:adjustRightInd w:val="0"/>
        <w:snapToGrid w:val="0"/>
        <w:spacing w:line="420" w:lineRule="exact"/>
        <w:ind w:firstLineChars="200" w:firstLine="480"/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t>五</w:t>
      </w:r>
      <w:r>
        <w:rPr>
          <w:rFonts w:ascii="黑体" w:eastAsia="黑体" w:hAnsi="黑体"/>
          <w:bCs/>
          <w:sz w:val="24"/>
        </w:rPr>
        <w:t xml:space="preserve">、公司监事会意见 </w:t>
      </w:r>
    </w:p>
    <w:p w:rsidR="00BA7F96" w:rsidRDefault="004F759A">
      <w:pPr>
        <w:adjustRightInd w:val="0"/>
        <w:snapToGrid w:val="0"/>
        <w:spacing w:line="420" w:lineRule="exact"/>
        <w:ind w:firstLineChars="200" w:firstLine="480"/>
        <w:rPr>
          <w:rFonts w:ascii="Times New Roman" w:hAnsi="宋体"/>
          <w:bCs/>
          <w:sz w:val="24"/>
        </w:rPr>
      </w:pPr>
      <w:r>
        <w:rPr>
          <w:rFonts w:ascii="Times New Roman" w:hAnsi="宋体"/>
          <w:bCs/>
          <w:sz w:val="24"/>
        </w:rPr>
        <w:t>本次利润分配预案已经第</w:t>
      </w:r>
      <w:r>
        <w:rPr>
          <w:rFonts w:ascii="Times New Roman" w:hAnsi="宋体" w:hint="eastAsia"/>
          <w:bCs/>
          <w:sz w:val="24"/>
        </w:rPr>
        <w:t>十</w:t>
      </w:r>
      <w:r>
        <w:rPr>
          <w:rFonts w:ascii="Times New Roman" w:hAnsi="宋体"/>
          <w:bCs/>
          <w:sz w:val="24"/>
        </w:rPr>
        <w:t>届监事会第</w:t>
      </w:r>
      <w:r>
        <w:rPr>
          <w:rFonts w:ascii="Times New Roman" w:hAnsi="宋体" w:hint="eastAsia"/>
          <w:bCs/>
          <w:sz w:val="24"/>
        </w:rPr>
        <w:t>六</w:t>
      </w:r>
      <w:r>
        <w:rPr>
          <w:rFonts w:ascii="Times New Roman" w:hAnsi="宋体"/>
          <w:bCs/>
          <w:sz w:val="24"/>
        </w:rPr>
        <w:t>次会议审议通过。监事会认为：</w:t>
      </w:r>
      <w:r>
        <w:rPr>
          <w:rFonts w:ascii="Times New Roman" w:hAnsi="宋体" w:hint="eastAsia"/>
          <w:bCs/>
          <w:sz w:val="24"/>
        </w:rPr>
        <w:t>公司</w:t>
      </w:r>
      <w:r>
        <w:rPr>
          <w:rFonts w:ascii="Times New Roman" w:hAnsi="宋体" w:hint="eastAsia"/>
          <w:bCs/>
          <w:sz w:val="24"/>
        </w:rPr>
        <w:t>2021</w:t>
      </w:r>
      <w:r>
        <w:rPr>
          <w:rFonts w:ascii="Times New Roman" w:hAnsi="宋体" w:hint="eastAsia"/>
          <w:bCs/>
          <w:sz w:val="24"/>
        </w:rPr>
        <w:t>年度利润分配预案符合公司的实际经营情况，符合相关法律法规、规范</w:t>
      </w:r>
      <w:r w:rsidR="00F87C1A">
        <w:rPr>
          <w:rFonts w:ascii="Times New Roman" w:hAnsi="宋体" w:hint="eastAsia"/>
          <w:bCs/>
          <w:sz w:val="24"/>
        </w:rPr>
        <w:t>性文件及《公司章程》的规定，不存在损害投资者利益的情况。同意公司</w:t>
      </w:r>
      <w:r>
        <w:rPr>
          <w:rFonts w:ascii="Times New Roman" w:hAnsi="宋体" w:hint="eastAsia"/>
          <w:bCs/>
          <w:sz w:val="24"/>
        </w:rPr>
        <w:t>利润分配预案，</w:t>
      </w:r>
      <w:r>
        <w:rPr>
          <w:rFonts w:ascii="Times New Roman" w:hAnsi="宋体"/>
          <w:bCs/>
          <w:sz w:val="24"/>
        </w:rPr>
        <w:t>并提交公司</w:t>
      </w:r>
      <w:r>
        <w:rPr>
          <w:rFonts w:ascii="Times New Roman" w:hAnsi="宋体"/>
          <w:bCs/>
          <w:color w:val="000000" w:themeColor="text1"/>
          <w:sz w:val="24"/>
        </w:rPr>
        <w:t>20</w:t>
      </w:r>
      <w:r>
        <w:rPr>
          <w:rFonts w:ascii="Times New Roman" w:hAnsi="宋体" w:hint="eastAsia"/>
          <w:bCs/>
          <w:color w:val="000000" w:themeColor="text1"/>
          <w:sz w:val="24"/>
        </w:rPr>
        <w:t>21</w:t>
      </w:r>
      <w:r>
        <w:rPr>
          <w:rFonts w:ascii="Times New Roman" w:hAnsi="宋体"/>
          <w:bCs/>
          <w:color w:val="000000" w:themeColor="text1"/>
          <w:sz w:val="24"/>
        </w:rPr>
        <w:t>年年度</w:t>
      </w:r>
      <w:r>
        <w:rPr>
          <w:rFonts w:ascii="Times New Roman" w:hAnsi="宋体"/>
          <w:bCs/>
          <w:sz w:val="24"/>
        </w:rPr>
        <w:t>股东大会审议。</w:t>
      </w:r>
    </w:p>
    <w:p w:rsidR="00BA7F96" w:rsidRDefault="004F759A">
      <w:pPr>
        <w:adjustRightInd w:val="0"/>
        <w:snapToGrid w:val="0"/>
        <w:spacing w:line="420" w:lineRule="exact"/>
        <w:ind w:firstLineChars="200" w:firstLine="480"/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t>六</w:t>
      </w:r>
      <w:r>
        <w:rPr>
          <w:rFonts w:ascii="黑体" w:eastAsia="黑体" w:hAnsi="黑体"/>
          <w:bCs/>
          <w:sz w:val="24"/>
        </w:rPr>
        <w:t>、独立董事意见</w:t>
      </w:r>
    </w:p>
    <w:p w:rsidR="00BA7F96" w:rsidRDefault="004F759A">
      <w:pPr>
        <w:adjustRightInd w:val="0"/>
        <w:snapToGrid w:val="0"/>
        <w:spacing w:line="420" w:lineRule="exact"/>
        <w:ind w:firstLineChars="200" w:firstLine="480"/>
        <w:rPr>
          <w:rFonts w:ascii="Times New Roman" w:hAnsi="宋体"/>
          <w:bCs/>
          <w:sz w:val="24"/>
        </w:rPr>
      </w:pPr>
      <w:r>
        <w:rPr>
          <w:rFonts w:ascii="Times New Roman" w:hAnsi="宋体" w:hint="eastAsia"/>
          <w:bCs/>
          <w:sz w:val="24"/>
        </w:rPr>
        <w:t>鉴于公司</w:t>
      </w:r>
      <w:r>
        <w:rPr>
          <w:rFonts w:ascii="Times New Roman" w:hAnsi="宋体" w:hint="eastAsia"/>
          <w:bCs/>
          <w:sz w:val="24"/>
        </w:rPr>
        <w:t>2021</w:t>
      </w:r>
      <w:r>
        <w:rPr>
          <w:rFonts w:ascii="Times New Roman" w:hAnsi="宋体" w:hint="eastAsia"/>
          <w:bCs/>
          <w:sz w:val="24"/>
        </w:rPr>
        <w:t>年度亏损</w:t>
      </w:r>
      <w:r w:rsidR="008A080F" w:rsidRPr="00064889">
        <w:rPr>
          <w:rFonts w:asciiTheme="minorEastAsia" w:hAnsiTheme="minorEastAsia" w:hint="eastAsia"/>
          <w:color w:val="000000" w:themeColor="text1"/>
          <w:kern w:val="0"/>
          <w:sz w:val="24"/>
        </w:rPr>
        <w:t>和2022年重大项目建设需要</w:t>
      </w:r>
      <w:r>
        <w:rPr>
          <w:rFonts w:ascii="Times New Roman" w:hAnsi="宋体" w:hint="eastAsia"/>
          <w:bCs/>
          <w:sz w:val="24"/>
        </w:rPr>
        <w:t>，公司拟不进行利润分配，是从实际情况出发，考虑了公司发展规划和流动资金的需求，有利于公司持续稳健的发展。分红预案符合相关法律法规、规范性文件及《公司章程》的规定，不存在损害投资者利益的情况。董事会的表决程序符合相关法律法规、规范性文件及《公司章程》的规定，表决程序合有效。同意公司</w:t>
      </w:r>
      <w:r>
        <w:rPr>
          <w:rFonts w:ascii="Times New Roman" w:hAnsi="宋体" w:hint="eastAsia"/>
          <w:bCs/>
          <w:sz w:val="24"/>
        </w:rPr>
        <w:t>2021</w:t>
      </w:r>
      <w:r>
        <w:rPr>
          <w:rFonts w:ascii="Times New Roman" w:hAnsi="宋体" w:hint="eastAsia"/>
          <w:bCs/>
          <w:sz w:val="24"/>
        </w:rPr>
        <w:t>年度不进行利润分配，并将该预案提交公司</w:t>
      </w:r>
      <w:r>
        <w:rPr>
          <w:rFonts w:ascii="Times New Roman" w:hAnsi="宋体" w:hint="eastAsia"/>
          <w:bCs/>
          <w:sz w:val="24"/>
        </w:rPr>
        <w:t>2021</w:t>
      </w:r>
      <w:r>
        <w:rPr>
          <w:rFonts w:ascii="Times New Roman" w:hAnsi="宋体" w:hint="eastAsia"/>
          <w:bCs/>
          <w:sz w:val="24"/>
        </w:rPr>
        <w:t>年年度股东大会审议。</w:t>
      </w:r>
      <w:bookmarkStart w:id="0" w:name="_GoBack"/>
      <w:bookmarkEnd w:id="0"/>
    </w:p>
    <w:p w:rsidR="00BA7F96" w:rsidRDefault="004F759A">
      <w:pPr>
        <w:adjustRightInd w:val="0"/>
        <w:snapToGrid w:val="0"/>
        <w:spacing w:line="420" w:lineRule="exact"/>
        <w:ind w:firstLineChars="200" w:firstLine="480"/>
        <w:rPr>
          <w:rFonts w:ascii="黑体" w:eastAsia="黑体" w:hAnsi="黑体"/>
          <w:bCs/>
          <w:sz w:val="24"/>
        </w:rPr>
      </w:pPr>
      <w:r>
        <w:rPr>
          <w:rFonts w:ascii="黑体" w:eastAsia="黑体" w:hAnsi="黑体" w:hint="eastAsia"/>
          <w:bCs/>
          <w:sz w:val="24"/>
        </w:rPr>
        <w:t>七</w:t>
      </w:r>
      <w:r>
        <w:rPr>
          <w:rFonts w:ascii="黑体" w:eastAsia="黑体" w:hAnsi="黑体"/>
          <w:bCs/>
          <w:sz w:val="24"/>
        </w:rPr>
        <w:t xml:space="preserve">、备查文件 </w:t>
      </w:r>
    </w:p>
    <w:p w:rsidR="00BA7F96" w:rsidRDefault="004F759A">
      <w:pPr>
        <w:adjustRightInd w:val="0"/>
        <w:snapToGrid w:val="0"/>
        <w:spacing w:line="420" w:lineRule="exact"/>
        <w:ind w:firstLineChars="200" w:firstLine="480"/>
        <w:rPr>
          <w:rFonts w:ascii="Times New Roman" w:hAnsi="宋体"/>
          <w:bCs/>
          <w:sz w:val="24"/>
        </w:rPr>
      </w:pPr>
      <w:r>
        <w:rPr>
          <w:rFonts w:ascii="Times New Roman" w:hAnsi="宋体"/>
          <w:bCs/>
          <w:sz w:val="24"/>
        </w:rPr>
        <w:t>1</w:t>
      </w:r>
      <w:r>
        <w:rPr>
          <w:rFonts w:ascii="Times New Roman" w:hAnsi="宋体" w:hint="eastAsia"/>
          <w:bCs/>
          <w:sz w:val="24"/>
        </w:rPr>
        <w:t>.</w:t>
      </w:r>
      <w:r>
        <w:rPr>
          <w:rFonts w:ascii="Times New Roman" w:hAnsi="宋体"/>
          <w:bCs/>
          <w:sz w:val="24"/>
        </w:rPr>
        <w:t>公司第</w:t>
      </w:r>
      <w:r>
        <w:rPr>
          <w:rFonts w:ascii="Times New Roman" w:hAnsi="宋体" w:hint="eastAsia"/>
          <w:bCs/>
          <w:sz w:val="24"/>
        </w:rPr>
        <w:t>十</w:t>
      </w:r>
      <w:r>
        <w:rPr>
          <w:rFonts w:ascii="Times New Roman" w:hAnsi="宋体"/>
          <w:bCs/>
          <w:sz w:val="24"/>
        </w:rPr>
        <w:t>届董事会第</w:t>
      </w:r>
      <w:r>
        <w:rPr>
          <w:rFonts w:ascii="Times New Roman" w:hAnsi="宋体" w:hint="eastAsia"/>
          <w:bCs/>
          <w:sz w:val="24"/>
        </w:rPr>
        <w:t>九</w:t>
      </w:r>
      <w:r>
        <w:rPr>
          <w:rFonts w:ascii="Times New Roman" w:hAnsi="宋体"/>
          <w:bCs/>
          <w:sz w:val="24"/>
        </w:rPr>
        <w:t>次会议决议；</w:t>
      </w:r>
      <w:r>
        <w:rPr>
          <w:rFonts w:ascii="Times New Roman" w:hAnsi="宋体"/>
          <w:bCs/>
          <w:sz w:val="24"/>
        </w:rPr>
        <w:t xml:space="preserve"> </w:t>
      </w:r>
    </w:p>
    <w:p w:rsidR="00BA7F96" w:rsidRDefault="004F759A">
      <w:pPr>
        <w:adjustRightInd w:val="0"/>
        <w:snapToGrid w:val="0"/>
        <w:spacing w:line="420" w:lineRule="exact"/>
        <w:ind w:firstLineChars="200" w:firstLine="480"/>
        <w:rPr>
          <w:rFonts w:ascii="Times New Roman" w:hAnsi="宋体"/>
          <w:bCs/>
          <w:sz w:val="24"/>
        </w:rPr>
      </w:pPr>
      <w:r>
        <w:rPr>
          <w:rFonts w:ascii="Times New Roman" w:hAnsi="宋体"/>
          <w:bCs/>
          <w:sz w:val="24"/>
        </w:rPr>
        <w:t>2</w:t>
      </w:r>
      <w:r>
        <w:rPr>
          <w:rFonts w:ascii="Times New Roman" w:hAnsi="宋体" w:hint="eastAsia"/>
          <w:bCs/>
          <w:sz w:val="24"/>
        </w:rPr>
        <w:t>.</w:t>
      </w:r>
      <w:r>
        <w:rPr>
          <w:rFonts w:ascii="Times New Roman" w:hAnsi="宋体"/>
          <w:bCs/>
          <w:sz w:val="24"/>
        </w:rPr>
        <w:t>公司第</w:t>
      </w:r>
      <w:r>
        <w:rPr>
          <w:rFonts w:ascii="Times New Roman" w:hAnsi="宋体" w:hint="eastAsia"/>
          <w:bCs/>
          <w:sz w:val="24"/>
        </w:rPr>
        <w:t>十</w:t>
      </w:r>
      <w:r>
        <w:rPr>
          <w:rFonts w:ascii="Times New Roman" w:hAnsi="宋体"/>
          <w:bCs/>
          <w:sz w:val="24"/>
        </w:rPr>
        <w:t>届监事会第</w:t>
      </w:r>
      <w:r>
        <w:rPr>
          <w:rFonts w:ascii="Times New Roman" w:hAnsi="宋体" w:hint="eastAsia"/>
          <w:bCs/>
          <w:sz w:val="24"/>
        </w:rPr>
        <w:t>六</w:t>
      </w:r>
      <w:r>
        <w:rPr>
          <w:rFonts w:ascii="Times New Roman" w:hAnsi="宋体"/>
          <w:bCs/>
          <w:sz w:val="24"/>
        </w:rPr>
        <w:t>次会议决议；</w:t>
      </w:r>
      <w:r>
        <w:rPr>
          <w:rFonts w:ascii="Times New Roman" w:hAnsi="宋体"/>
          <w:bCs/>
          <w:sz w:val="24"/>
        </w:rPr>
        <w:t xml:space="preserve"> </w:t>
      </w:r>
    </w:p>
    <w:p w:rsidR="00BA7F96" w:rsidRDefault="004F759A">
      <w:pPr>
        <w:adjustRightInd w:val="0"/>
        <w:snapToGrid w:val="0"/>
        <w:spacing w:line="420" w:lineRule="exact"/>
        <w:ind w:firstLineChars="200" w:firstLine="480"/>
        <w:rPr>
          <w:rFonts w:ascii="Times New Roman" w:hAnsi="宋体"/>
          <w:bCs/>
          <w:sz w:val="24"/>
        </w:rPr>
      </w:pPr>
      <w:r>
        <w:rPr>
          <w:rFonts w:ascii="Times New Roman" w:hAnsi="宋体"/>
          <w:bCs/>
          <w:sz w:val="24"/>
        </w:rPr>
        <w:t>3</w:t>
      </w:r>
      <w:r>
        <w:rPr>
          <w:rFonts w:ascii="Times New Roman" w:hAnsi="宋体" w:hint="eastAsia"/>
          <w:bCs/>
          <w:sz w:val="24"/>
        </w:rPr>
        <w:t>.</w:t>
      </w:r>
      <w:r>
        <w:rPr>
          <w:rFonts w:ascii="Times New Roman" w:hAnsi="宋体"/>
          <w:bCs/>
          <w:sz w:val="24"/>
        </w:rPr>
        <w:t>公司独立董事关于</w:t>
      </w:r>
      <w:r>
        <w:rPr>
          <w:rFonts w:ascii="Times New Roman" w:hAnsi="宋体" w:hint="eastAsia"/>
          <w:bCs/>
          <w:sz w:val="24"/>
        </w:rPr>
        <w:t>2021</w:t>
      </w:r>
      <w:r>
        <w:rPr>
          <w:rFonts w:ascii="Times New Roman" w:hAnsi="宋体" w:hint="eastAsia"/>
          <w:bCs/>
          <w:sz w:val="24"/>
        </w:rPr>
        <w:t>年度利润分配预案的</w:t>
      </w:r>
      <w:r>
        <w:rPr>
          <w:rFonts w:ascii="Times New Roman" w:hAnsi="宋体"/>
          <w:bCs/>
          <w:sz w:val="24"/>
        </w:rPr>
        <w:t>独立意见。</w:t>
      </w:r>
      <w:r>
        <w:rPr>
          <w:rFonts w:ascii="Times New Roman" w:hAnsi="宋体"/>
          <w:bCs/>
          <w:sz w:val="24"/>
        </w:rPr>
        <w:t xml:space="preserve"> </w:t>
      </w:r>
    </w:p>
    <w:p w:rsidR="00BA7F96" w:rsidRDefault="004F759A">
      <w:pPr>
        <w:adjustRightInd w:val="0"/>
        <w:snapToGrid w:val="0"/>
        <w:spacing w:line="420" w:lineRule="exact"/>
        <w:ind w:firstLineChars="200" w:firstLine="480"/>
        <w:rPr>
          <w:rFonts w:ascii="Times New Roman" w:hAnsi="宋体"/>
          <w:bCs/>
          <w:sz w:val="24"/>
        </w:rPr>
      </w:pPr>
      <w:r>
        <w:rPr>
          <w:rFonts w:ascii="Times New Roman" w:hAnsi="宋体"/>
          <w:bCs/>
          <w:sz w:val="24"/>
        </w:rPr>
        <w:t>特此公告。</w:t>
      </w:r>
      <w:r>
        <w:rPr>
          <w:rFonts w:ascii="Times New Roman" w:hAnsi="宋体"/>
          <w:bCs/>
          <w:sz w:val="24"/>
        </w:rPr>
        <w:t xml:space="preserve"> </w:t>
      </w:r>
    </w:p>
    <w:p w:rsidR="00BA7F96" w:rsidRDefault="00BA7F96">
      <w:pPr>
        <w:adjustRightInd w:val="0"/>
        <w:snapToGrid w:val="0"/>
        <w:spacing w:line="420" w:lineRule="exact"/>
        <w:ind w:firstLineChars="200" w:firstLine="480"/>
        <w:rPr>
          <w:rFonts w:ascii="宋体" w:hAnsi="宋体" w:cs="宋体"/>
          <w:bCs/>
          <w:kern w:val="0"/>
          <w:sz w:val="24"/>
        </w:rPr>
      </w:pPr>
    </w:p>
    <w:p w:rsidR="00F87C1A" w:rsidRDefault="00F87C1A">
      <w:pPr>
        <w:adjustRightInd w:val="0"/>
        <w:snapToGrid w:val="0"/>
        <w:spacing w:line="420" w:lineRule="exact"/>
        <w:ind w:firstLineChars="200" w:firstLine="480"/>
        <w:rPr>
          <w:rFonts w:ascii="宋体" w:hAnsi="宋体" w:cs="宋体"/>
          <w:bCs/>
          <w:kern w:val="0"/>
          <w:sz w:val="24"/>
        </w:rPr>
      </w:pPr>
    </w:p>
    <w:p w:rsidR="00BA7F96" w:rsidRDefault="00BA7F96">
      <w:pPr>
        <w:adjustRightInd w:val="0"/>
        <w:snapToGrid w:val="0"/>
        <w:spacing w:line="420" w:lineRule="exact"/>
        <w:ind w:firstLineChars="200" w:firstLine="480"/>
        <w:rPr>
          <w:rFonts w:ascii="宋体" w:hAnsi="宋体" w:cs="宋体"/>
          <w:bCs/>
          <w:kern w:val="0"/>
          <w:sz w:val="24"/>
        </w:rPr>
      </w:pPr>
    </w:p>
    <w:p w:rsidR="00BA7F96" w:rsidRDefault="004F759A">
      <w:pPr>
        <w:adjustRightInd w:val="0"/>
        <w:snapToGrid w:val="0"/>
        <w:spacing w:line="420" w:lineRule="exact"/>
        <w:ind w:firstLineChars="2200" w:firstLine="5280"/>
        <w:rPr>
          <w:rFonts w:ascii="Times New Roman" w:hAnsi="宋体"/>
          <w:bCs/>
          <w:sz w:val="24"/>
        </w:rPr>
      </w:pPr>
      <w:r>
        <w:rPr>
          <w:rFonts w:ascii="Times New Roman" w:hAnsi="宋体"/>
          <w:bCs/>
          <w:sz w:val="24"/>
        </w:rPr>
        <w:t>中百控股集团股份有限公司</w:t>
      </w:r>
    </w:p>
    <w:p w:rsidR="00BA7F96" w:rsidRDefault="004F759A">
      <w:pPr>
        <w:adjustRightInd w:val="0"/>
        <w:snapToGrid w:val="0"/>
        <w:spacing w:line="420" w:lineRule="exact"/>
        <w:ind w:firstLineChars="2600" w:firstLine="6240"/>
        <w:rPr>
          <w:rFonts w:ascii="Times New Roman" w:hAnsi="宋体"/>
          <w:bCs/>
          <w:sz w:val="24"/>
        </w:rPr>
      </w:pPr>
      <w:r>
        <w:rPr>
          <w:rFonts w:ascii="Times New Roman" w:hAnsi="宋体"/>
          <w:bCs/>
          <w:sz w:val="24"/>
        </w:rPr>
        <w:t>董</w:t>
      </w:r>
      <w:r>
        <w:rPr>
          <w:rFonts w:ascii="Times New Roman" w:hAnsi="宋体" w:hint="eastAsia"/>
          <w:bCs/>
          <w:sz w:val="24"/>
        </w:rPr>
        <w:t xml:space="preserve"> </w:t>
      </w:r>
      <w:r>
        <w:rPr>
          <w:rFonts w:ascii="Times New Roman" w:hAnsi="宋体"/>
          <w:bCs/>
          <w:sz w:val="24"/>
        </w:rPr>
        <w:t>事</w:t>
      </w:r>
      <w:r>
        <w:rPr>
          <w:rFonts w:ascii="Times New Roman" w:hAnsi="宋体" w:hint="eastAsia"/>
          <w:bCs/>
          <w:sz w:val="24"/>
        </w:rPr>
        <w:t xml:space="preserve"> </w:t>
      </w:r>
      <w:r>
        <w:rPr>
          <w:rFonts w:ascii="Times New Roman" w:hAnsi="宋体"/>
          <w:bCs/>
          <w:sz w:val="24"/>
        </w:rPr>
        <w:t>会</w:t>
      </w:r>
      <w:r>
        <w:rPr>
          <w:rFonts w:ascii="Times New Roman" w:hAnsi="宋体"/>
          <w:bCs/>
          <w:sz w:val="24"/>
        </w:rPr>
        <w:t xml:space="preserve"> </w:t>
      </w:r>
    </w:p>
    <w:p w:rsidR="00BA7F96" w:rsidRDefault="004F759A">
      <w:pPr>
        <w:adjustRightInd w:val="0"/>
        <w:snapToGrid w:val="0"/>
        <w:spacing w:line="420" w:lineRule="exact"/>
        <w:ind w:firstLineChars="2400" w:firstLine="5760"/>
        <w:rPr>
          <w:rFonts w:asciiTheme="minorEastAsia" w:eastAsiaTheme="minorEastAsia" w:hAnsiTheme="minorEastAsia"/>
          <w:bCs/>
          <w:sz w:val="24"/>
        </w:rPr>
      </w:pPr>
      <w:r>
        <w:rPr>
          <w:rFonts w:asciiTheme="minorEastAsia" w:eastAsiaTheme="minorEastAsia" w:hAnsiTheme="minorEastAsia" w:hint="eastAsia"/>
          <w:kern w:val="0"/>
          <w:sz w:val="24"/>
        </w:rPr>
        <w:t>2022年3月26日</w:t>
      </w:r>
    </w:p>
    <w:sectPr w:rsidR="00BA7F96" w:rsidSect="00BA7F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7033" w:rsidRDefault="00067033" w:rsidP="00F87C1A">
      <w:r>
        <w:separator/>
      </w:r>
    </w:p>
  </w:endnote>
  <w:endnote w:type="continuationSeparator" w:id="0">
    <w:p w:rsidR="00067033" w:rsidRDefault="00067033" w:rsidP="00F87C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书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7033" w:rsidRDefault="00067033" w:rsidP="00F87C1A">
      <w:r>
        <w:separator/>
      </w:r>
    </w:p>
  </w:footnote>
  <w:footnote w:type="continuationSeparator" w:id="0">
    <w:p w:rsidR="00067033" w:rsidRDefault="00067033" w:rsidP="00F87C1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3F69"/>
    <w:rsid w:val="00014CFC"/>
    <w:rsid w:val="000419EA"/>
    <w:rsid w:val="00041B39"/>
    <w:rsid w:val="00067033"/>
    <w:rsid w:val="00091C23"/>
    <w:rsid w:val="000A35EC"/>
    <w:rsid w:val="000D3952"/>
    <w:rsid w:val="00167E60"/>
    <w:rsid w:val="001E5C88"/>
    <w:rsid w:val="00203EED"/>
    <w:rsid w:val="0024508A"/>
    <w:rsid w:val="00292CF0"/>
    <w:rsid w:val="002C57DB"/>
    <w:rsid w:val="00316B6E"/>
    <w:rsid w:val="0039282D"/>
    <w:rsid w:val="003C3E75"/>
    <w:rsid w:val="003E19EF"/>
    <w:rsid w:val="004119A1"/>
    <w:rsid w:val="00427888"/>
    <w:rsid w:val="00453839"/>
    <w:rsid w:val="00476EA0"/>
    <w:rsid w:val="004E64A2"/>
    <w:rsid w:val="004E7B98"/>
    <w:rsid w:val="004F759A"/>
    <w:rsid w:val="005B1062"/>
    <w:rsid w:val="005C1F18"/>
    <w:rsid w:val="00606E74"/>
    <w:rsid w:val="0065202D"/>
    <w:rsid w:val="00680CDB"/>
    <w:rsid w:val="0069634D"/>
    <w:rsid w:val="006C2308"/>
    <w:rsid w:val="006E1FED"/>
    <w:rsid w:val="006E6B99"/>
    <w:rsid w:val="00701FE7"/>
    <w:rsid w:val="00716CAF"/>
    <w:rsid w:val="00783F69"/>
    <w:rsid w:val="0079438E"/>
    <w:rsid w:val="007A3BA2"/>
    <w:rsid w:val="007D183C"/>
    <w:rsid w:val="007E5FE8"/>
    <w:rsid w:val="00811059"/>
    <w:rsid w:val="0082517B"/>
    <w:rsid w:val="00837CA6"/>
    <w:rsid w:val="00851CB8"/>
    <w:rsid w:val="00896D4B"/>
    <w:rsid w:val="008A080F"/>
    <w:rsid w:val="008E1D71"/>
    <w:rsid w:val="008F6684"/>
    <w:rsid w:val="009015F1"/>
    <w:rsid w:val="00944B00"/>
    <w:rsid w:val="00947C41"/>
    <w:rsid w:val="009A7D93"/>
    <w:rsid w:val="009B4C74"/>
    <w:rsid w:val="009C34D5"/>
    <w:rsid w:val="009C7E12"/>
    <w:rsid w:val="009E0C54"/>
    <w:rsid w:val="009F022A"/>
    <w:rsid w:val="009F239B"/>
    <w:rsid w:val="00A239D7"/>
    <w:rsid w:val="00AA2A17"/>
    <w:rsid w:val="00BA42D5"/>
    <w:rsid w:val="00BA7F96"/>
    <w:rsid w:val="00BC0338"/>
    <w:rsid w:val="00BE6C5D"/>
    <w:rsid w:val="00C553B3"/>
    <w:rsid w:val="00C9457D"/>
    <w:rsid w:val="00CA37D4"/>
    <w:rsid w:val="00CC0EE1"/>
    <w:rsid w:val="00D0555F"/>
    <w:rsid w:val="00D129F0"/>
    <w:rsid w:val="00D15FA6"/>
    <w:rsid w:val="00D6520D"/>
    <w:rsid w:val="00D85DBE"/>
    <w:rsid w:val="00DC0A11"/>
    <w:rsid w:val="00E52B62"/>
    <w:rsid w:val="00E7216E"/>
    <w:rsid w:val="00E746E8"/>
    <w:rsid w:val="00EC1814"/>
    <w:rsid w:val="00EC1FBA"/>
    <w:rsid w:val="00F55536"/>
    <w:rsid w:val="00F87C1A"/>
    <w:rsid w:val="00FB335E"/>
    <w:rsid w:val="03A95C23"/>
    <w:rsid w:val="1C2801B6"/>
    <w:rsid w:val="32DD3921"/>
    <w:rsid w:val="377D1435"/>
    <w:rsid w:val="5DC1645F"/>
    <w:rsid w:val="61E32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F9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First Indent"/>
    <w:basedOn w:val="a4"/>
    <w:semiHidden/>
    <w:unhideWhenUsed/>
    <w:qFormat/>
    <w:rsid w:val="00BA7F96"/>
    <w:pPr>
      <w:ind w:firstLineChars="100" w:firstLine="420"/>
    </w:pPr>
    <w:rPr>
      <w:rFonts w:ascii="Calibri" w:hAnsi="Calibri"/>
      <w:szCs w:val="22"/>
    </w:rPr>
  </w:style>
  <w:style w:type="paragraph" w:styleId="a4">
    <w:name w:val="Body Text"/>
    <w:basedOn w:val="a"/>
    <w:qFormat/>
    <w:rsid w:val="00BA7F96"/>
    <w:pPr>
      <w:spacing w:after="120"/>
    </w:pPr>
    <w:rPr>
      <w:rFonts w:ascii="Times New Roman" w:hAnsi="Times New Roman"/>
      <w:szCs w:val="24"/>
    </w:rPr>
  </w:style>
  <w:style w:type="paragraph" w:styleId="a5">
    <w:name w:val="Body Text Indent"/>
    <w:basedOn w:val="a"/>
    <w:link w:val="Char"/>
    <w:qFormat/>
    <w:rsid w:val="00BA7F96"/>
    <w:pPr>
      <w:spacing w:after="120"/>
      <w:ind w:leftChars="200" w:left="420"/>
    </w:pPr>
    <w:rPr>
      <w:rFonts w:ascii="Times New Roman" w:hAnsi="Times New Roman"/>
      <w:szCs w:val="24"/>
    </w:rPr>
  </w:style>
  <w:style w:type="paragraph" w:styleId="a6">
    <w:name w:val="Balloon Text"/>
    <w:basedOn w:val="a"/>
    <w:semiHidden/>
    <w:qFormat/>
    <w:rsid w:val="00BA7F96"/>
    <w:rPr>
      <w:rFonts w:ascii="Times New Roman" w:hAnsi="Times New Roman"/>
      <w:sz w:val="18"/>
      <w:szCs w:val="18"/>
    </w:rPr>
  </w:style>
  <w:style w:type="paragraph" w:styleId="a7">
    <w:name w:val="footer"/>
    <w:basedOn w:val="a"/>
    <w:link w:val="Char0"/>
    <w:uiPriority w:val="99"/>
    <w:semiHidden/>
    <w:unhideWhenUsed/>
    <w:qFormat/>
    <w:rsid w:val="00BA7F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header"/>
    <w:basedOn w:val="a"/>
    <w:link w:val="Char1"/>
    <w:uiPriority w:val="99"/>
    <w:semiHidden/>
    <w:unhideWhenUsed/>
    <w:rsid w:val="00BA7F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qFormat/>
    <w:rsid w:val="00BA7F96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character" w:customStyle="1" w:styleId="Char1">
    <w:name w:val="页眉 Char"/>
    <w:basedOn w:val="a0"/>
    <w:link w:val="a8"/>
    <w:uiPriority w:val="99"/>
    <w:semiHidden/>
    <w:rsid w:val="00BA7F96"/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semiHidden/>
    <w:rsid w:val="00BA7F96"/>
    <w:rPr>
      <w:sz w:val="18"/>
      <w:szCs w:val="18"/>
    </w:rPr>
  </w:style>
  <w:style w:type="character" w:customStyle="1" w:styleId="da">
    <w:name w:val="da"/>
    <w:basedOn w:val="a0"/>
    <w:qFormat/>
    <w:rsid w:val="00BA7F96"/>
  </w:style>
  <w:style w:type="paragraph" w:customStyle="1" w:styleId="Default">
    <w:name w:val="Default"/>
    <w:qFormat/>
    <w:rsid w:val="00BA7F96"/>
    <w:pPr>
      <w:widowControl w:val="0"/>
      <w:autoSpaceDE w:val="0"/>
      <w:autoSpaceDN w:val="0"/>
      <w:adjustRightInd w:val="0"/>
    </w:pPr>
    <w:rPr>
      <w:rFonts w:ascii="宋体" w:hAnsi="Calibri" w:cs="宋体"/>
      <w:color w:val="000000"/>
      <w:sz w:val="24"/>
      <w:szCs w:val="24"/>
    </w:rPr>
  </w:style>
  <w:style w:type="character" w:customStyle="1" w:styleId="Char">
    <w:name w:val="正文文本缩进 Char"/>
    <w:basedOn w:val="a0"/>
    <w:link w:val="a5"/>
    <w:qFormat/>
    <w:rsid w:val="00BA7F96"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aa">
    <w:name w:val="正文（首行缩进）"/>
    <w:basedOn w:val="a3"/>
    <w:next w:val="a6"/>
    <w:qFormat/>
    <w:rsid w:val="00BA7F96"/>
    <w:pPr>
      <w:snapToGrid w:val="0"/>
      <w:spacing w:line="288" w:lineRule="auto"/>
      <w:ind w:firstLine="880"/>
    </w:pPr>
    <w:rPr>
      <w:rFonts w:eastAsia="方正书宋简体"/>
      <w:sz w:val="24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31</cp:revision>
  <dcterms:created xsi:type="dcterms:W3CDTF">2020-04-13T03:21:00Z</dcterms:created>
  <dcterms:modified xsi:type="dcterms:W3CDTF">2022-03-23T02:43:00Z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