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adjustRightInd w:val="0"/>
        <w:snapToGrid w:val="0"/>
        <w:spacing w:after="0"/>
        <w:ind w:left="0" w:leftChars="0" w:firstLine="360"/>
        <w:jc w:val="center"/>
        <w:rPr>
          <w:rFonts w:ascii="黑体" w:eastAsia="黑体"/>
          <w:snapToGrid w:val="0"/>
          <w:kern w:val="0"/>
          <w:sz w:val="36"/>
          <w:szCs w:val="36"/>
        </w:rPr>
      </w:pPr>
      <w:r>
        <w:rPr>
          <w:rFonts w:hint="eastAsia" w:ascii="黑体" w:eastAsia="黑体"/>
          <w:snapToGrid w:val="0"/>
          <w:kern w:val="0"/>
          <w:sz w:val="36"/>
          <w:szCs w:val="36"/>
        </w:rPr>
        <w:t>中百控股集团股份有限公司</w:t>
      </w:r>
    </w:p>
    <w:p>
      <w:pPr>
        <w:pStyle w:val="6"/>
        <w:adjustRightInd w:val="0"/>
        <w:snapToGrid w:val="0"/>
        <w:spacing w:after="0"/>
        <w:ind w:left="0" w:leftChars="0"/>
        <w:jc w:val="center"/>
        <w:rPr>
          <w:rFonts w:ascii="黑体" w:eastAsia="黑体"/>
          <w:snapToGrid w:val="0"/>
          <w:kern w:val="0"/>
          <w:sz w:val="36"/>
          <w:szCs w:val="36"/>
        </w:rPr>
      </w:pPr>
      <w:r>
        <w:rPr>
          <w:rFonts w:ascii="黑体" w:eastAsia="黑体"/>
          <w:snapToGrid w:val="0"/>
          <w:kern w:val="0"/>
          <w:sz w:val="36"/>
          <w:szCs w:val="36"/>
        </w:rPr>
        <w:t>独立董事对上一年度日常关联交易</w:t>
      </w:r>
    </w:p>
    <w:p>
      <w:pPr>
        <w:pStyle w:val="6"/>
        <w:adjustRightInd w:val="0"/>
        <w:snapToGrid w:val="0"/>
        <w:spacing w:after="0"/>
        <w:ind w:left="0" w:leftChars="0"/>
        <w:jc w:val="center"/>
        <w:rPr>
          <w:rFonts w:ascii="黑体" w:eastAsia="黑体"/>
          <w:snapToGrid w:val="0"/>
          <w:kern w:val="0"/>
          <w:sz w:val="36"/>
          <w:szCs w:val="36"/>
        </w:rPr>
      </w:pPr>
      <w:r>
        <w:rPr>
          <w:rFonts w:ascii="黑体" w:eastAsia="黑体"/>
          <w:snapToGrid w:val="0"/>
          <w:kern w:val="0"/>
          <w:sz w:val="36"/>
          <w:szCs w:val="36"/>
        </w:rPr>
        <w:t>实际发生额低于预计的</w:t>
      </w:r>
      <w:r>
        <w:rPr>
          <w:rFonts w:hint="eastAsia" w:ascii="黑体" w:eastAsia="黑体"/>
          <w:snapToGrid w:val="0"/>
          <w:kern w:val="0"/>
          <w:sz w:val="36"/>
          <w:szCs w:val="36"/>
        </w:rPr>
        <w:t>核查</w:t>
      </w:r>
      <w:r>
        <w:rPr>
          <w:rFonts w:ascii="黑体" w:eastAsia="黑体"/>
          <w:snapToGrid w:val="0"/>
          <w:kern w:val="0"/>
          <w:sz w:val="36"/>
          <w:szCs w:val="36"/>
        </w:rPr>
        <w:t>意见</w:t>
      </w:r>
    </w:p>
    <w:p>
      <w:pPr>
        <w:spacing w:line="360" w:lineRule="auto"/>
        <w:ind w:firstLine="470" w:firstLineChars="196"/>
        <w:rPr>
          <w:rFonts w:ascii="宋体" w:hAnsi="宋体" w:cs="宋体"/>
          <w:sz w:val="24"/>
        </w:rPr>
      </w:pPr>
    </w:p>
    <w:p>
      <w:pPr>
        <w:spacing w:line="360" w:lineRule="auto"/>
        <w:ind w:firstLine="470" w:firstLineChars="196"/>
        <w:rPr>
          <w:rFonts w:ascii="宋体" w:hAnsi="宋体" w:cs="宋体"/>
          <w:sz w:val="24"/>
        </w:rPr>
      </w:pPr>
      <w:r>
        <w:rPr>
          <w:rFonts w:hint="eastAsia" w:ascii="宋体" w:hAnsi="宋体" w:cs="宋体"/>
          <w:sz w:val="24"/>
        </w:rPr>
        <w:t>根据《深圳证券交易所股票上市规则》</w:t>
      </w:r>
      <w:r>
        <w:rPr>
          <w:rFonts w:ascii="宋体" w:hAnsi="宋体" w:cs="宋体"/>
          <w:sz w:val="24"/>
        </w:rPr>
        <w:t>《深圳证券交易所上市公司自律监管指南第2号——公告格式》等规范性文件以及</w:t>
      </w:r>
      <w:r>
        <w:rPr>
          <w:rFonts w:hint="eastAsia" w:ascii="宋体" w:hAnsi="宋体" w:cs="宋体"/>
          <w:sz w:val="24"/>
        </w:rPr>
        <w:t>《公司章程》的有关规定，作为中百控股集团股份有限公司（以下简称“公司”）的独立董事，我们对公司2021年度日常关联交易实际发生情况与预计存在较大差异的情况进行了核查，核查意见如下：</w:t>
      </w:r>
    </w:p>
    <w:p>
      <w:pPr>
        <w:spacing w:line="360" w:lineRule="auto"/>
        <w:ind w:firstLine="470" w:firstLineChars="196"/>
        <w:rPr>
          <w:rFonts w:hint="eastAsia" w:ascii="宋体" w:hAnsi="宋体" w:cs="宋体"/>
          <w:sz w:val="24"/>
        </w:rPr>
      </w:pPr>
      <w:r>
        <w:rPr>
          <w:rFonts w:ascii="宋体" w:hAnsi="宋体" w:cs="宋体"/>
          <w:sz w:val="24"/>
        </w:rPr>
        <w:t>公司2021年度日常关联交易预计发生金额为</w:t>
      </w:r>
      <w:r>
        <w:rPr>
          <w:rFonts w:hint="eastAsia" w:ascii="宋体" w:hAnsi="宋体" w:cs="宋体"/>
          <w:sz w:val="24"/>
        </w:rPr>
        <w:t>15400万</w:t>
      </w:r>
      <w:r>
        <w:rPr>
          <w:rFonts w:ascii="宋体" w:hAnsi="宋体" w:cs="宋体"/>
          <w:sz w:val="24"/>
        </w:rPr>
        <w:t>元，实际发生金额为</w:t>
      </w:r>
      <w:r>
        <w:rPr>
          <w:rFonts w:hint="eastAsia" w:ascii="宋体" w:hAnsi="宋体" w:cs="宋体"/>
          <w:sz w:val="24"/>
        </w:rPr>
        <w:t>12182万元</w:t>
      </w:r>
      <w:r>
        <w:rPr>
          <w:rFonts w:ascii="宋体" w:hAnsi="宋体" w:cs="宋体"/>
          <w:sz w:val="24"/>
        </w:rPr>
        <w:t>，差额为-</w:t>
      </w:r>
      <w:r>
        <w:rPr>
          <w:rFonts w:hint="eastAsia" w:ascii="宋体" w:hAnsi="宋体" w:cs="宋体"/>
          <w:sz w:val="24"/>
        </w:rPr>
        <w:t>20.90</w:t>
      </w:r>
      <w:r>
        <w:rPr>
          <w:rFonts w:ascii="宋体" w:hAnsi="宋体" w:cs="宋体"/>
          <w:sz w:val="24"/>
        </w:rPr>
        <w:t>%</w:t>
      </w:r>
      <w:r>
        <w:rPr>
          <w:rFonts w:hint="eastAsia" w:ascii="宋体" w:hAnsi="宋体" w:cs="宋体"/>
          <w:sz w:val="24"/>
        </w:rPr>
        <w:t>。</w:t>
      </w:r>
    </w:p>
    <w:p>
      <w:pPr>
        <w:spacing w:line="360" w:lineRule="auto"/>
        <w:ind w:firstLine="470" w:firstLineChars="196"/>
        <w:rPr>
          <w:rFonts w:ascii="宋体" w:hAnsi="宋体" w:cs="宋体"/>
          <w:sz w:val="24"/>
        </w:rPr>
      </w:pPr>
      <w:r>
        <w:rPr>
          <w:rFonts w:ascii="宋体" w:hAnsi="宋体" w:cs="宋体"/>
          <w:sz w:val="24"/>
        </w:rPr>
        <w:t>公司董事会对日常关联交易实际发生情况与预计存在较大差异的说明</w:t>
      </w:r>
      <w:r>
        <w:rPr>
          <w:rFonts w:hint="eastAsia" w:ascii="宋体" w:hAnsi="宋体" w:cs="宋体"/>
          <w:sz w:val="24"/>
        </w:rPr>
        <w:t>：2021年，中百仓储重庆公司3家门店因租赁合同到期而闭店，造成商品采购金额较预计减少，因此2021年日常关联交易实际发生情况与预计存在较大差异。</w:t>
      </w:r>
    </w:p>
    <w:p>
      <w:pPr>
        <w:spacing w:line="360" w:lineRule="auto"/>
        <w:ind w:firstLine="470" w:firstLineChars="196"/>
        <w:rPr>
          <w:rFonts w:ascii="宋体" w:hAnsi="宋体" w:cs="宋体"/>
          <w:sz w:val="24"/>
        </w:rPr>
      </w:pPr>
      <w:r>
        <w:rPr>
          <w:rFonts w:hint="eastAsia" w:ascii="宋体" w:hAnsi="宋体" w:cs="宋体"/>
          <w:sz w:val="24"/>
        </w:rPr>
        <w:t>经核查，我们认为：</w:t>
      </w:r>
      <w:r>
        <w:rPr>
          <w:rFonts w:ascii="宋体" w:hAnsi="宋体" w:cs="宋体"/>
          <w:sz w:val="24"/>
        </w:rPr>
        <w:t>公司董事会对2021年日常关联交易实际发生情况与预计存在较大差异的说明符合公司的实际情况，关联交易遵循了“公平、公正、公允” 的原则，交易事项符合市场原则，决策程序合法，交易定价公允合理，不存在损害公司及其他股东利益特别是中小股东利益的情形。</w:t>
      </w:r>
    </w:p>
    <w:p>
      <w:pPr>
        <w:keepNext w:val="0"/>
        <w:keepLines w:val="0"/>
        <w:pageBreakBefore w:val="0"/>
        <w:widowControl w:val="0"/>
        <w:kinsoku/>
        <w:wordWrap/>
        <w:overflowPunct/>
        <w:topLinePunct w:val="0"/>
        <w:bidi w:val="0"/>
        <w:adjustRightInd w:val="0"/>
        <w:snapToGrid w:val="0"/>
        <w:spacing w:line="360" w:lineRule="auto"/>
        <w:textAlignment w:val="auto"/>
        <w:rPr>
          <w:sz w:val="24"/>
        </w:rPr>
      </w:pPr>
    </w:p>
    <w:p>
      <w:pPr>
        <w:keepNext w:val="0"/>
        <w:keepLines w:val="0"/>
        <w:pageBreakBefore w:val="0"/>
        <w:widowControl w:val="0"/>
        <w:kinsoku/>
        <w:wordWrap/>
        <w:overflowPunct/>
        <w:topLinePunct w:val="0"/>
        <w:bidi w:val="0"/>
        <w:adjustRightInd w:val="0"/>
        <w:snapToGrid w:val="0"/>
        <w:spacing w:line="360" w:lineRule="auto"/>
        <w:textAlignment w:val="auto"/>
        <w:rPr>
          <w:sz w:val="24"/>
          <w:szCs w:val="24"/>
        </w:rPr>
      </w:pPr>
      <w:bookmarkStart w:id="0" w:name="_GoBack"/>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70" w:firstLineChars="196"/>
        <w:jc w:val="center"/>
        <w:textAlignment w:val="auto"/>
        <w:rPr>
          <w:kern w:val="0"/>
          <w:sz w:val="24"/>
        </w:rPr>
      </w:pPr>
      <w:r>
        <w:rPr>
          <w:rFonts w:hint="eastAsia"/>
          <w:kern w:val="0"/>
          <w:sz w:val="24"/>
        </w:rPr>
        <w:t xml:space="preserve">                                独立董事：</w:t>
      </w:r>
      <w:r>
        <w:rPr>
          <w:kern w:val="0"/>
          <w:sz w:val="24"/>
        </w:rPr>
        <w:t>黄</w:t>
      </w:r>
      <w:r>
        <w:rPr>
          <w:rFonts w:hint="eastAsia"/>
          <w:kern w:val="0"/>
          <w:sz w:val="24"/>
        </w:rPr>
        <w:t xml:space="preserve">  </w:t>
      </w:r>
      <w:r>
        <w:rPr>
          <w:kern w:val="0"/>
          <w:sz w:val="24"/>
        </w:rPr>
        <w:t>静</w:t>
      </w:r>
      <w:r>
        <w:rPr>
          <w:rFonts w:hint="eastAsia"/>
          <w:kern w:val="0"/>
          <w:sz w:val="24"/>
        </w:rPr>
        <w:t xml:space="preserve">   孙  晋</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70" w:firstLineChars="196"/>
        <w:jc w:val="center"/>
        <w:textAlignment w:val="auto"/>
        <w:rPr>
          <w:rFonts w:hint="eastAsia" w:eastAsiaTheme="minorEastAsia"/>
          <w:kern w:val="0"/>
          <w:sz w:val="24"/>
          <w:lang w:eastAsia="zh-CN"/>
        </w:rPr>
      </w:pPr>
      <w:r>
        <w:rPr>
          <w:rFonts w:hint="eastAsia"/>
          <w:kern w:val="0"/>
          <w:sz w:val="24"/>
        </w:rPr>
        <w:t xml:space="preserve">                                          冀志斌   </w:t>
      </w:r>
      <w:r>
        <w:rPr>
          <w:rFonts w:hint="eastAsia"/>
          <w:kern w:val="0"/>
          <w:sz w:val="24"/>
          <w:lang w:val="en-US" w:eastAsia="zh-CN"/>
        </w:rPr>
        <w:t>余国杰</w:t>
      </w:r>
    </w:p>
    <w:p>
      <w:pPr>
        <w:keepNext w:val="0"/>
        <w:keepLines w:val="0"/>
        <w:pageBreakBefore w:val="0"/>
        <w:widowControl w:val="0"/>
        <w:kinsoku/>
        <w:wordWrap/>
        <w:overflowPunct/>
        <w:topLinePunct w:val="0"/>
        <w:bidi w:val="0"/>
        <w:adjustRightInd w:val="0"/>
        <w:snapToGrid w:val="0"/>
        <w:spacing w:line="360" w:lineRule="auto"/>
        <w:ind w:firstLine="5990" w:firstLineChars="2496"/>
        <w:textAlignment w:val="auto"/>
        <w:rPr>
          <w:rFonts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2</w:t>
      </w:r>
      <w:r>
        <w:rPr>
          <w:rFonts w:hint="eastAsia" w:ascii="宋体" w:hAnsi="宋体" w:eastAsia="宋体" w:cs="宋体"/>
          <w:sz w:val="24"/>
          <w:szCs w:val="24"/>
        </w:rPr>
        <w:t>年3月2</w:t>
      </w:r>
      <w:r>
        <w:rPr>
          <w:rFonts w:hint="eastAsia" w:ascii="宋体" w:hAnsi="宋体" w:eastAsia="宋体" w:cs="宋体"/>
          <w:sz w:val="24"/>
          <w:szCs w:val="24"/>
          <w:lang w:val="en-US" w:eastAsia="zh-CN"/>
        </w:rPr>
        <w:t>4</w:t>
      </w:r>
      <w:r>
        <w:rPr>
          <w:rFonts w:hint="eastAsia" w:ascii="宋体" w:hAnsi="宋体" w:eastAsia="宋体" w:cs="宋体"/>
          <w:sz w:val="24"/>
          <w:szCs w:val="24"/>
        </w:rPr>
        <w:t>日</w:t>
      </w:r>
    </w:p>
    <w:p>
      <w:pPr>
        <w:keepNext w:val="0"/>
        <w:keepLines w:val="0"/>
        <w:pageBreakBefore w:val="0"/>
        <w:widowControl w:val="0"/>
        <w:kinsoku/>
        <w:wordWrap/>
        <w:overflowPunct/>
        <w:topLinePunct w:val="0"/>
        <w:bidi w:val="0"/>
        <w:adjustRightInd w:val="0"/>
        <w:snapToGrid w:val="0"/>
        <w:spacing w:line="360" w:lineRule="auto"/>
        <w:textAlignment w:val="auto"/>
        <w:rPr>
          <w:sz w:val="24"/>
          <w:szCs w:val="2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BC5"/>
    <w:rsid w:val="000152ED"/>
    <w:rsid w:val="00045FC5"/>
    <w:rsid w:val="00091BC5"/>
    <w:rsid w:val="00095A51"/>
    <w:rsid w:val="000D34E4"/>
    <w:rsid w:val="00130B21"/>
    <w:rsid w:val="001A21BB"/>
    <w:rsid w:val="001D690A"/>
    <w:rsid w:val="00361308"/>
    <w:rsid w:val="004F5421"/>
    <w:rsid w:val="004F6446"/>
    <w:rsid w:val="00512624"/>
    <w:rsid w:val="00540D5D"/>
    <w:rsid w:val="005C1E2B"/>
    <w:rsid w:val="00673D8F"/>
    <w:rsid w:val="00676D2E"/>
    <w:rsid w:val="00682368"/>
    <w:rsid w:val="006D18C5"/>
    <w:rsid w:val="00727FDA"/>
    <w:rsid w:val="00737A84"/>
    <w:rsid w:val="00760CDE"/>
    <w:rsid w:val="007810C5"/>
    <w:rsid w:val="007A6561"/>
    <w:rsid w:val="007D41C7"/>
    <w:rsid w:val="008057AE"/>
    <w:rsid w:val="00873546"/>
    <w:rsid w:val="0088602F"/>
    <w:rsid w:val="008F0312"/>
    <w:rsid w:val="009638D9"/>
    <w:rsid w:val="009A52D8"/>
    <w:rsid w:val="00A11340"/>
    <w:rsid w:val="00A51E95"/>
    <w:rsid w:val="00A610EC"/>
    <w:rsid w:val="00A72719"/>
    <w:rsid w:val="00AA2E71"/>
    <w:rsid w:val="00AE5A88"/>
    <w:rsid w:val="00B40E70"/>
    <w:rsid w:val="00BB337C"/>
    <w:rsid w:val="00C10FCE"/>
    <w:rsid w:val="00C34B41"/>
    <w:rsid w:val="00C8731D"/>
    <w:rsid w:val="00D67E7F"/>
    <w:rsid w:val="00D74F3A"/>
    <w:rsid w:val="00D93023"/>
    <w:rsid w:val="00E76E17"/>
    <w:rsid w:val="00ED3AA3"/>
    <w:rsid w:val="00F2698B"/>
    <w:rsid w:val="00FF05F9"/>
    <w:rsid w:val="39CB7E3C"/>
    <w:rsid w:val="45B03FA4"/>
    <w:rsid w:val="60431E6C"/>
    <w:rsid w:val="705D4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正文（首行缩进）"/>
    <w:basedOn w:val="3"/>
    <w:next w:val="5"/>
    <w:qFormat/>
    <w:uiPriority w:val="0"/>
    <w:pPr>
      <w:snapToGrid w:val="0"/>
      <w:spacing w:line="288" w:lineRule="auto"/>
      <w:ind w:firstLine="880"/>
    </w:pPr>
    <w:rPr>
      <w:rFonts w:eastAsia="方正书宋简体"/>
      <w:sz w:val="24"/>
      <w:szCs w:val="21"/>
    </w:rPr>
  </w:style>
  <w:style w:type="paragraph" w:styleId="3">
    <w:name w:val="Body Text First Indent"/>
    <w:basedOn w:val="4"/>
    <w:semiHidden/>
    <w:unhideWhenUsed/>
    <w:qFormat/>
    <w:uiPriority w:val="0"/>
    <w:pPr>
      <w:ind w:firstLine="420" w:firstLineChars="100"/>
    </w:pPr>
    <w:rPr>
      <w:rFonts w:ascii="Calibri" w:hAnsi="Calibri"/>
      <w:szCs w:val="22"/>
    </w:rPr>
  </w:style>
  <w:style w:type="paragraph" w:styleId="4">
    <w:name w:val="Body Text"/>
    <w:basedOn w:val="1"/>
    <w:qFormat/>
    <w:uiPriority w:val="0"/>
    <w:pPr>
      <w:spacing w:after="120"/>
    </w:pPr>
  </w:style>
  <w:style w:type="paragraph" w:styleId="5">
    <w:name w:val="Balloon Text"/>
    <w:basedOn w:val="1"/>
    <w:semiHidden/>
    <w:qFormat/>
    <w:uiPriority w:val="0"/>
    <w:rPr>
      <w:sz w:val="18"/>
      <w:szCs w:val="18"/>
    </w:rPr>
  </w:style>
  <w:style w:type="paragraph" w:styleId="6">
    <w:name w:val="Body Text Indent"/>
    <w:basedOn w:val="1"/>
    <w:link w:val="13"/>
    <w:qFormat/>
    <w:uiPriority w:val="0"/>
    <w:pPr>
      <w:spacing w:after="120"/>
      <w:ind w:left="420" w:leftChars="200"/>
    </w:pPr>
    <w:rPr>
      <w:rFonts w:ascii="Times New Roman" w:hAnsi="Times New Roman" w:eastAsia="宋体" w:cs="Times New Roman"/>
      <w:szCs w:val="24"/>
    </w:rPr>
  </w:style>
  <w:style w:type="paragraph" w:styleId="7">
    <w:name w:val="footer"/>
    <w:basedOn w:val="1"/>
    <w:link w:val="12"/>
    <w:semiHidden/>
    <w:unhideWhenUsed/>
    <w:qFormat/>
    <w:uiPriority w:val="99"/>
    <w:pPr>
      <w:tabs>
        <w:tab w:val="center" w:pos="4153"/>
        <w:tab w:val="right" w:pos="8306"/>
      </w:tabs>
      <w:snapToGrid w:val="0"/>
      <w:jc w:val="left"/>
    </w:pPr>
    <w:rPr>
      <w:sz w:val="18"/>
      <w:szCs w:val="18"/>
    </w:rPr>
  </w:style>
  <w:style w:type="paragraph" w:styleId="8">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页眉 Char"/>
    <w:basedOn w:val="9"/>
    <w:link w:val="8"/>
    <w:semiHidden/>
    <w:uiPriority w:val="99"/>
    <w:rPr>
      <w:sz w:val="18"/>
      <w:szCs w:val="18"/>
    </w:rPr>
  </w:style>
  <w:style w:type="character" w:customStyle="1" w:styleId="12">
    <w:name w:val="页脚 Char"/>
    <w:basedOn w:val="9"/>
    <w:link w:val="7"/>
    <w:semiHidden/>
    <w:qFormat/>
    <w:uiPriority w:val="99"/>
    <w:rPr>
      <w:sz w:val="18"/>
      <w:szCs w:val="18"/>
    </w:rPr>
  </w:style>
  <w:style w:type="character" w:customStyle="1" w:styleId="13">
    <w:name w:val="正文文本缩进 Char"/>
    <w:basedOn w:val="9"/>
    <w:link w:val="6"/>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69</Words>
  <Characters>399</Characters>
  <Lines>3</Lines>
  <Paragraphs>1</Paragraphs>
  <TotalTime>1</TotalTime>
  <ScaleCrop>false</ScaleCrop>
  <LinksUpToDate>false</LinksUpToDate>
  <CharactersWithSpaces>467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2018-03-21T02:44:00Z</dcterms:created>
  <dc:creator>陈雯</dc:creator>
  <cp:lastModifiedBy>王茂</cp:lastModifiedBy>
  <dcterms:modified xsi:type="dcterms:W3CDTF">2022-03-18T03:07:56Z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