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DAB" w:rsidRDefault="00BD099F">
      <w:pPr>
        <w:rPr>
          <w:rFonts w:asciiTheme="minorEastAsia" w:eastAsiaTheme="minorEastAsia" w:hAnsiTheme="minorEastAsia"/>
          <w:sz w:val="24"/>
        </w:rPr>
      </w:pPr>
      <w:r>
        <w:rPr>
          <w:rFonts w:asciiTheme="minorEastAsia" w:eastAsiaTheme="minorEastAsia" w:hAnsiTheme="minorEastAsia"/>
          <w:sz w:val="24"/>
        </w:rPr>
        <w:t>证券代码：000759          证券简称：中百集团         公告编号：20</w:t>
      </w:r>
      <w:r>
        <w:rPr>
          <w:rFonts w:asciiTheme="minorEastAsia" w:eastAsiaTheme="minorEastAsia" w:hAnsiTheme="minorEastAsia" w:hint="eastAsia"/>
          <w:sz w:val="24"/>
        </w:rPr>
        <w:t>22</w:t>
      </w:r>
      <w:r>
        <w:rPr>
          <w:rFonts w:asciiTheme="minorEastAsia" w:eastAsiaTheme="minorEastAsia" w:hAnsiTheme="minorEastAsia"/>
          <w:sz w:val="24"/>
        </w:rPr>
        <w:t>-</w:t>
      </w:r>
      <w:r>
        <w:rPr>
          <w:rFonts w:asciiTheme="minorEastAsia" w:eastAsiaTheme="minorEastAsia" w:hAnsiTheme="minorEastAsia" w:hint="eastAsia"/>
          <w:sz w:val="24"/>
        </w:rPr>
        <w:t>006</w:t>
      </w:r>
    </w:p>
    <w:p w:rsidR="00282DAB" w:rsidRDefault="00282DAB">
      <w:pPr>
        <w:rPr>
          <w:rFonts w:asciiTheme="minorEastAsia" w:eastAsiaTheme="minorEastAsia" w:hAnsiTheme="minorEastAsia"/>
          <w:sz w:val="24"/>
        </w:rPr>
      </w:pPr>
    </w:p>
    <w:p w:rsidR="00282DAB" w:rsidRDefault="00BD099F">
      <w:pPr>
        <w:snapToGrid w:val="0"/>
        <w:jc w:val="center"/>
        <w:rPr>
          <w:rStyle w:val="da"/>
          <w:rFonts w:ascii="黑体" w:eastAsia="黑体" w:hAnsi="宋体"/>
          <w:sz w:val="36"/>
          <w:szCs w:val="36"/>
        </w:rPr>
      </w:pPr>
      <w:r>
        <w:rPr>
          <w:rStyle w:val="da"/>
          <w:rFonts w:ascii="黑体" w:eastAsia="黑体" w:hAnsi="宋体" w:hint="eastAsia"/>
          <w:sz w:val="36"/>
          <w:szCs w:val="36"/>
        </w:rPr>
        <w:t>中百控股集团股份有限公司</w:t>
      </w:r>
    </w:p>
    <w:p w:rsidR="00282DAB" w:rsidRDefault="00BD099F" w:rsidP="00CC2B24">
      <w:pPr>
        <w:adjustRightInd w:val="0"/>
        <w:snapToGrid w:val="0"/>
        <w:spacing w:afterLines="50"/>
        <w:jc w:val="center"/>
        <w:rPr>
          <w:rStyle w:val="da"/>
          <w:rFonts w:ascii="黑体" w:eastAsia="黑体" w:hAnsi="宋体"/>
          <w:sz w:val="36"/>
          <w:szCs w:val="36"/>
        </w:rPr>
      </w:pPr>
      <w:r>
        <w:rPr>
          <w:rStyle w:val="da"/>
          <w:rFonts w:ascii="黑体" w:eastAsia="黑体" w:hAnsi="宋体" w:hint="eastAsia"/>
          <w:sz w:val="36"/>
          <w:szCs w:val="36"/>
        </w:rPr>
        <w:t>第十届监事会第六次会议决议公告</w:t>
      </w:r>
    </w:p>
    <w:tbl>
      <w:tblPr>
        <w:tblpPr w:leftFromText="180" w:rightFromText="180" w:vertAnchor="text" w:horzAnchor="margin" w:tblpX="108" w:tblpY="13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282DAB">
        <w:tc>
          <w:tcPr>
            <w:tcW w:w="8472" w:type="dxa"/>
          </w:tcPr>
          <w:p w:rsidR="00282DAB" w:rsidRDefault="00BD099F">
            <w:pPr>
              <w:pStyle w:val="Default"/>
              <w:spacing w:line="400" w:lineRule="exact"/>
              <w:ind w:firstLineChars="200" w:firstLine="480"/>
              <w:jc w:val="both"/>
              <w:rPr>
                <w:rFonts w:ascii="楷体" w:eastAsia="楷体" w:hAnsi="楷体"/>
              </w:rPr>
            </w:pPr>
            <w:r>
              <w:rPr>
                <w:rFonts w:ascii="楷体" w:eastAsia="楷体" w:hAnsi="楷体" w:hint="eastAsia"/>
              </w:rPr>
              <w:t>本公司及监事会全体成员保证信息披露的内容真实、准确、完整，没有虚假记载、误导性陈述或者重大遗漏。</w:t>
            </w:r>
          </w:p>
        </w:tc>
      </w:tr>
    </w:tbl>
    <w:p w:rsidR="00282DAB" w:rsidRDefault="00282DAB">
      <w:pPr>
        <w:pStyle w:val="a9"/>
        <w:adjustRightInd w:val="0"/>
        <w:snapToGrid w:val="0"/>
        <w:spacing w:before="0" w:beforeAutospacing="0" w:after="0" w:afterAutospacing="0" w:line="240" w:lineRule="atLeast"/>
        <w:jc w:val="center"/>
        <w:rPr>
          <w:rFonts w:ascii="Times New Roman" w:eastAsia="楷体_GB2312" w:hAnsi="Times New Roman" w:cs="Times New Roman"/>
          <w:b/>
          <w:color w:val="auto"/>
        </w:rPr>
      </w:pPr>
    </w:p>
    <w:p w:rsidR="00282DAB" w:rsidRDefault="00BD099F">
      <w:pPr>
        <w:pStyle w:val="a9"/>
        <w:adjustRightInd w:val="0"/>
        <w:snapToGrid w:val="0"/>
        <w:spacing w:before="0" w:beforeAutospacing="0" w:after="0" w:afterAutospacing="0" w:line="360" w:lineRule="auto"/>
        <w:ind w:rightChars="85" w:right="178" w:firstLineChars="196" w:firstLine="470"/>
        <w:jc w:val="both"/>
        <w:rPr>
          <w:rStyle w:val="da"/>
          <w:rFonts w:ascii="Times New Roman" w:cs="Times New Roman"/>
        </w:rPr>
      </w:pPr>
      <w:r>
        <w:rPr>
          <w:rStyle w:val="da"/>
          <w:rFonts w:ascii="Times New Roman" w:cs="Times New Roman"/>
        </w:rPr>
        <w:t>中百控股集团股份有限公司</w:t>
      </w:r>
      <w:r>
        <w:rPr>
          <w:rStyle w:val="da"/>
          <w:rFonts w:ascii="Times New Roman" w:cs="Times New Roman" w:hint="eastAsia"/>
        </w:rPr>
        <w:t>（以下称“公司”）第十届监事会第六次会议</w:t>
      </w:r>
      <w:r>
        <w:rPr>
          <w:rStyle w:val="da"/>
          <w:rFonts w:ascii="Times New Roman" w:cs="Times New Roman"/>
        </w:rPr>
        <w:t>于</w:t>
      </w:r>
      <w:r>
        <w:rPr>
          <w:rStyle w:val="da"/>
          <w:rFonts w:ascii="Times New Roman" w:cs="Times New Roman"/>
        </w:rPr>
        <w:t>20</w:t>
      </w:r>
      <w:r>
        <w:rPr>
          <w:rStyle w:val="da"/>
          <w:rFonts w:ascii="Times New Roman" w:cs="Times New Roman" w:hint="eastAsia"/>
        </w:rPr>
        <w:t>22</w:t>
      </w:r>
      <w:r>
        <w:rPr>
          <w:rStyle w:val="da"/>
          <w:rFonts w:ascii="Times New Roman" w:cs="Times New Roman"/>
        </w:rPr>
        <w:t>年</w:t>
      </w:r>
      <w:r>
        <w:rPr>
          <w:rStyle w:val="da"/>
          <w:rFonts w:ascii="Times New Roman" w:cs="Times New Roman" w:hint="eastAsia"/>
        </w:rPr>
        <w:t>3</w:t>
      </w:r>
      <w:r>
        <w:rPr>
          <w:rStyle w:val="da"/>
          <w:rFonts w:ascii="Times New Roman" w:cs="Times New Roman"/>
        </w:rPr>
        <w:t>月</w:t>
      </w:r>
      <w:r>
        <w:rPr>
          <w:rStyle w:val="da"/>
          <w:rFonts w:ascii="Times New Roman" w:cs="Times New Roman" w:hint="eastAsia"/>
        </w:rPr>
        <w:t>24</w:t>
      </w:r>
      <w:r>
        <w:rPr>
          <w:rStyle w:val="da"/>
          <w:rFonts w:ascii="Times New Roman" w:cs="Times New Roman"/>
        </w:rPr>
        <w:t>日</w:t>
      </w:r>
      <w:r>
        <w:rPr>
          <w:rStyle w:val="da"/>
          <w:rFonts w:ascii="Times New Roman" w:cs="Times New Roman" w:hint="eastAsia"/>
        </w:rPr>
        <w:t>上午</w:t>
      </w:r>
      <w:r>
        <w:rPr>
          <w:rStyle w:val="da"/>
          <w:rFonts w:ascii="Times New Roman" w:cs="Times New Roman" w:hint="eastAsia"/>
        </w:rPr>
        <w:t>11:30</w:t>
      </w:r>
      <w:r>
        <w:rPr>
          <w:rStyle w:val="da"/>
          <w:rFonts w:ascii="Times New Roman" w:cs="Times New Roman"/>
        </w:rPr>
        <w:t>在公司</w:t>
      </w:r>
      <w:r>
        <w:rPr>
          <w:rStyle w:val="da"/>
          <w:rFonts w:ascii="Times New Roman" w:cs="Times New Roman" w:hint="eastAsia"/>
        </w:rPr>
        <w:t>17</w:t>
      </w:r>
      <w:r>
        <w:rPr>
          <w:rStyle w:val="da"/>
          <w:rFonts w:ascii="Times New Roman" w:cs="Times New Roman"/>
        </w:rPr>
        <w:t>楼会议室召开。本次会议通知于</w:t>
      </w:r>
      <w:r>
        <w:rPr>
          <w:rStyle w:val="da"/>
          <w:rFonts w:ascii="Times New Roman" w:cs="Times New Roman"/>
        </w:rPr>
        <w:t>20</w:t>
      </w:r>
      <w:r>
        <w:rPr>
          <w:rStyle w:val="da"/>
          <w:rFonts w:ascii="Times New Roman" w:cs="Times New Roman" w:hint="eastAsia"/>
        </w:rPr>
        <w:t>22</w:t>
      </w:r>
      <w:r>
        <w:rPr>
          <w:rStyle w:val="da"/>
          <w:rFonts w:ascii="Times New Roman" w:cs="Times New Roman"/>
        </w:rPr>
        <w:t>年</w:t>
      </w:r>
      <w:r>
        <w:rPr>
          <w:rStyle w:val="da"/>
          <w:rFonts w:ascii="Times New Roman" w:cs="Times New Roman" w:hint="eastAsia"/>
        </w:rPr>
        <w:t>3</w:t>
      </w:r>
      <w:r>
        <w:rPr>
          <w:rStyle w:val="da"/>
          <w:rFonts w:ascii="Times New Roman" w:cs="Times New Roman"/>
        </w:rPr>
        <w:t>月</w:t>
      </w:r>
      <w:r>
        <w:rPr>
          <w:rStyle w:val="da"/>
          <w:rFonts w:ascii="Times New Roman" w:cs="Times New Roman" w:hint="eastAsia"/>
        </w:rPr>
        <w:t>14</w:t>
      </w:r>
      <w:r>
        <w:rPr>
          <w:rStyle w:val="da"/>
          <w:rFonts w:ascii="Times New Roman" w:cs="Times New Roman"/>
        </w:rPr>
        <w:t>日以电子邮件形式发出。</w:t>
      </w:r>
      <w:r>
        <w:rPr>
          <w:rStyle w:val="da"/>
          <w:rFonts w:ascii="Times New Roman" w:cs="Times New Roman" w:hint="eastAsia"/>
        </w:rPr>
        <w:t>应</w:t>
      </w:r>
      <w:r w:rsidR="009C6060">
        <w:rPr>
          <w:rStyle w:val="da"/>
          <w:rFonts w:ascii="Times New Roman" w:cs="Times New Roman" w:hint="eastAsia"/>
        </w:rPr>
        <w:t>出席</w:t>
      </w:r>
      <w:r>
        <w:rPr>
          <w:rStyle w:val="da"/>
          <w:rFonts w:ascii="Times New Roman" w:cs="Times New Roman" w:hint="eastAsia"/>
        </w:rPr>
        <w:t>监事</w:t>
      </w:r>
      <w:r>
        <w:rPr>
          <w:rStyle w:val="da"/>
          <w:rFonts w:ascii="Times New Roman" w:cs="Times New Roman" w:hint="eastAsia"/>
        </w:rPr>
        <w:t>3</w:t>
      </w:r>
      <w:r>
        <w:rPr>
          <w:rStyle w:val="da"/>
          <w:rFonts w:ascii="Times New Roman" w:cs="Times New Roman" w:hint="eastAsia"/>
        </w:rPr>
        <w:t>名，</w:t>
      </w:r>
      <w:r w:rsidR="009C6060">
        <w:rPr>
          <w:rStyle w:val="da"/>
          <w:rFonts w:ascii="Times New Roman" w:cs="Times New Roman" w:hint="eastAsia"/>
        </w:rPr>
        <w:t>实际出席</w:t>
      </w:r>
      <w:r>
        <w:rPr>
          <w:rStyle w:val="da"/>
          <w:rFonts w:ascii="Times New Roman" w:cs="Times New Roman" w:hint="eastAsia"/>
        </w:rPr>
        <w:t>监事</w:t>
      </w:r>
      <w:r>
        <w:rPr>
          <w:rStyle w:val="da"/>
          <w:rFonts w:ascii="Times New Roman" w:cs="Times New Roman" w:hint="eastAsia"/>
        </w:rPr>
        <w:t>3</w:t>
      </w:r>
      <w:r>
        <w:rPr>
          <w:rStyle w:val="da"/>
          <w:rFonts w:ascii="Times New Roman" w:cs="Times New Roman" w:hint="eastAsia"/>
        </w:rPr>
        <w:t>名。</w:t>
      </w:r>
      <w:r>
        <w:rPr>
          <w:rFonts w:hint="eastAsia"/>
        </w:rPr>
        <w:t>会议由监事会主席张永生先生主持。</w:t>
      </w:r>
      <w:r>
        <w:rPr>
          <w:rStyle w:val="da"/>
          <w:rFonts w:ascii="Times New Roman" w:cs="Times New Roman"/>
        </w:rPr>
        <w:t>会议的召开符合《公司法》及公司章程的规定。</w:t>
      </w:r>
    </w:p>
    <w:p w:rsidR="00491839" w:rsidRDefault="00BD099F" w:rsidP="00491839">
      <w:pPr>
        <w:pStyle w:val="a9"/>
        <w:adjustRightInd w:val="0"/>
        <w:snapToGrid w:val="0"/>
        <w:spacing w:before="0" w:beforeAutospacing="0" w:after="0" w:afterAutospacing="0" w:line="360" w:lineRule="auto"/>
        <w:ind w:rightChars="85" w:right="178" w:firstLineChars="196" w:firstLine="470"/>
        <w:jc w:val="both"/>
        <w:rPr>
          <w:rStyle w:val="da"/>
          <w:rFonts w:ascii="Times New Roman" w:cs="Times New Roman"/>
        </w:rPr>
      </w:pPr>
      <w:r>
        <w:rPr>
          <w:rStyle w:val="da"/>
          <w:rFonts w:ascii="Times New Roman" w:cs="Times New Roman"/>
        </w:rPr>
        <w:t>会议审议</w:t>
      </w:r>
      <w:r>
        <w:rPr>
          <w:rStyle w:val="da"/>
          <w:rFonts w:ascii="Times New Roman" w:cs="Times New Roman" w:hint="eastAsia"/>
        </w:rPr>
        <w:t>并</w:t>
      </w:r>
      <w:r>
        <w:rPr>
          <w:rStyle w:val="da"/>
          <w:rFonts w:ascii="Times New Roman" w:cs="Times New Roman"/>
        </w:rPr>
        <w:t>通过了以下议案：</w:t>
      </w:r>
    </w:p>
    <w:p w:rsidR="00282DAB" w:rsidRPr="00491839" w:rsidRDefault="00BD099F" w:rsidP="00491839">
      <w:pPr>
        <w:pStyle w:val="a9"/>
        <w:adjustRightInd w:val="0"/>
        <w:snapToGrid w:val="0"/>
        <w:spacing w:before="0" w:beforeAutospacing="0" w:after="0" w:afterAutospacing="0" w:line="360" w:lineRule="auto"/>
        <w:ind w:rightChars="85" w:right="178" w:firstLineChars="196" w:firstLine="470"/>
        <w:jc w:val="both"/>
        <w:rPr>
          <w:rStyle w:val="da"/>
          <w:rFonts w:ascii="Times New Roman" w:cs="Times New Roman"/>
        </w:rPr>
      </w:pPr>
      <w:r w:rsidRPr="008E1338">
        <w:rPr>
          <w:rStyle w:val="da"/>
          <w:rFonts w:ascii="黑体" w:eastAsia="黑体" w:hAnsi="黑体" w:cs="Times New Roman"/>
        </w:rPr>
        <w:t>一</w:t>
      </w:r>
      <w:r w:rsidRPr="008E1338">
        <w:rPr>
          <w:rStyle w:val="da"/>
          <w:rFonts w:ascii="黑体" w:eastAsia="黑体" w:hAnsi="黑体" w:cs="Times New Roman" w:hint="eastAsia"/>
        </w:rPr>
        <w:t>、</w:t>
      </w:r>
      <w:bookmarkStart w:id="0" w:name="_GoBack"/>
      <w:bookmarkEnd w:id="0"/>
      <w:r w:rsidR="009C6060" w:rsidRPr="008E1338">
        <w:rPr>
          <w:rFonts w:ascii="黑体" w:eastAsia="黑体" w:hAnsi="黑体" w:hint="eastAsia"/>
        </w:rPr>
        <w:t>关于</w:t>
      </w:r>
      <w:r w:rsidR="009C6060" w:rsidRPr="008E1338">
        <w:rPr>
          <w:rFonts w:ascii="黑体" w:eastAsia="黑体" w:hAnsi="黑体"/>
        </w:rPr>
        <w:t>20</w:t>
      </w:r>
      <w:r w:rsidR="009C6060" w:rsidRPr="008E1338">
        <w:rPr>
          <w:rFonts w:ascii="黑体" w:eastAsia="黑体" w:hAnsi="黑体" w:hint="eastAsia"/>
        </w:rPr>
        <w:t>21年度监事会工作报告的议案</w:t>
      </w:r>
      <w:r w:rsidRPr="008E1338">
        <w:rPr>
          <w:rStyle w:val="da"/>
          <w:rFonts w:ascii="黑体" w:eastAsia="黑体" w:hAnsi="黑体" w:cs="Times New Roman"/>
        </w:rPr>
        <w:t>。</w:t>
      </w:r>
    </w:p>
    <w:p w:rsidR="00282DAB" w:rsidRDefault="00BD099F">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hint="eastAsia"/>
          <w:color w:val="auto"/>
        </w:rPr>
        <w:t>3</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9C6060" w:rsidRDefault="002C1E6D">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Fonts w:ascii="Times New Roman" w:hAnsi="Times New Roman" w:cs="Times New Roman"/>
        </w:rPr>
        <w:t>《中百控股集团股份有限公司</w:t>
      </w:r>
      <w:r>
        <w:rPr>
          <w:rFonts w:ascii="Times New Roman" w:hAnsi="Times New Roman"/>
          <w:bCs/>
        </w:rPr>
        <w:t>20</w:t>
      </w:r>
      <w:r>
        <w:rPr>
          <w:rFonts w:ascii="Times New Roman" w:hAnsi="Times New Roman" w:hint="eastAsia"/>
          <w:bCs/>
        </w:rPr>
        <w:t>21</w:t>
      </w:r>
      <w:r>
        <w:rPr>
          <w:rFonts w:ascii="Times New Roman" w:hAnsi="Times New Roman"/>
          <w:bCs/>
        </w:rPr>
        <w:t>年度</w:t>
      </w:r>
      <w:r>
        <w:rPr>
          <w:rFonts w:ascii="Times New Roman" w:hAnsi="Times New Roman" w:hint="eastAsia"/>
          <w:bCs/>
        </w:rPr>
        <w:t>监事会</w:t>
      </w:r>
      <w:r>
        <w:rPr>
          <w:rFonts w:ascii="Times New Roman" w:hAnsi="Times New Roman"/>
          <w:bCs/>
        </w:rPr>
        <w:t>工作报告</w:t>
      </w:r>
      <w:r>
        <w:rPr>
          <w:rFonts w:ascii="Times New Roman" w:hAnsi="Times New Roman" w:cs="Times New Roman"/>
        </w:rPr>
        <w:t>》详见同日巨潮网公告</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www.cninfo.com.cn</w:t>
      </w:r>
      <w:r>
        <w:rPr>
          <w:rFonts w:ascii="Times New Roman" w:hAnsi="Times New Roman" w:cs="Times New Roman"/>
        </w:rPr>
        <w:t>）。</w:t>
      </w:r>
    </w:p>
    <w:p w:rsidR="00282DAB" w:rsidRDefault="00BD099F" w:rsidP="00CC2B24">
      <w:pPr>
        <w:pStyle w:val="a9"/>
        <w:adjustRightInd w:val="0"/>
        <w:snapToGrid w:val="0"/>
        <w:spacing w:beforeLines="50" w:beforeAutospacing="0" w:after="0" w:afterAutospacing="0" w:line="360" w:lineRule="auto"/>
        <w:ind w:rightChars="85" w:right="178" w:firstLineChars="196" w:firstLine="470"/>
        <w:rPr>
          <w:rStyle w:val="da"/>
          <w:rFonts w:ascii="黑体" w:eastAsia="黑体" w:hAnsi="黑体" w:cs="Times New Roman"/>
        </w:rPr>
      </w:pPr>
      <w:r>
        <w:rPr>
          <w:rStyle w:val="da"/>
          <w:rFonts w:ascii="黑体" w:eastAsia="黑体" w:hAnsi="黑体" w:cs="Times New Roman"/>
        </w:rPr>
        <w:t>二、</w:t>
      </w:r>
      <w:r w:rsidR="009C6060" w:rsidRPr="008E1338">
        <w:rPr>
          <w:rStyle w:val="da"/>
          <w:rFonts w:ascii="黑体" w:eastAsia="黑体" w:hAnsi="黑体" w:cs="Times New Roman" w:hint="eastAsia"/>
        </w:rPr>
        <w:t>关于</w:t>
      </w:r>
      <w:r w:rsidR="009C6060" w:rsidRPr="008E1338">
        <w:rPr>
          <w:rStyle w:val="da"/>
          <w:rFonts w:ascii="黑体" w:eastAsia="黑体" w:hAnsi="黑体" w:cs="Times New Roman"/>
        </w:rPr>
        <w:t>20</w:t>
      </w:r>
      <w:r w:rsidR="009C6060" w:rsidRPr="008E1338">
        <w:rPr>
          <w:rStyle w:val="da"/>
          <w:rFonts w:ascii="黑体" w:eastAsia="黑体" w:hAnsi="黑体" w:cs="Times New Roman" w:hint="eastAsia"/>
        </w:rPr>
        <w:t>21年年度报告正文及摘要的议案</w:t>
      </w:r>
      <w:r>
        <w:rPr>
          <w:rStyle w:val="da"/>
          <w:rFonts w:ascii="黑体" w:eastAsia="黑体" w:hAnsi="黑体" w:cs="Times New Roman"/>
        </w:rPr>
        <w:t>。</w:t>
      </w:r>
    </w:p>
    <w:p w:rsidR="002C1E6D" w:rsidRPr="002C1E6D" w:rsidRDefault="002C1E6D" w:rsidP="002C1E6D">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hint="eastAsia"/>
          <w:color w:val="auto"/>
        </w:rPr>
        <w:t>3</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282DAB" w:rsidRDefault="00BD099F">
      <w:pPr>
        <w:pStyle w:val="a9"/>
        <w:adjustRightInd w:val="0"/>
        <w:snapToGrid w:val="0"/>
        <w:spacing w:before="0" w:beforeAutospacing="0" w:after="0" w:afterAutospacing="0" w:line="360" w:lineRule="auto"/>
        <w:ind w:rightChars="85" w:right="178" w:firstLineChars="196" w:firstLine="470"/>
        <w:jc w:val="both"/>
        <w:rPr>
          <w:rStyle w:val="da"/>
          <w:rFonts w:asciiTheme="minorEastAsia" w:eastAsiaTheme="minorEastAsia" w:hAnsiTheme="minorEastAsia" w:cs="Times New Roman"/>
        </w:rPr>
      </w:pPr>
      <w:r>
        <w:rPr>
          <w:rStyle w:val="da"/>
          <w:rFonts w:asciiTheme="minorEastAsia" w:eastAsiaTheme="minorEastAsia" w:hAnsiTheme="minorEastAsia" w:cs="Times New Roman"/>
        </w:rPr>
        <w:t>经审核，公司监事会认为：董事会编制和审议公司20</w:t>
      </w:r>
      <w:r>
        <w:rPr>
          <w:rStyle w:val="da"/>
          <w:rFonts w:asciiTheme="minorEastAsia" w:eastAsiaTheme="minorEastAsia" w:hAnsiTheme="minorEastAsia" w:cs="Times New Roman" w:hint="eastAsia"/>
        </w:rPr>
        <w:t>21</w:t>
      </w:r>
      <w:r>
        <w:rPr>
          <w:rStyle w:val="da"/>
          <w:rFonts w:asciiTheme="minorEastAsia" w:eastAsiaTheme="minorEastAsia" w:hAnsiTheme="minorEastAsia" w:cs="Times New Roman"/>
        </w:rPr>
        <w:t>年年度报告的程序符合法律、行政法规及中国证监会的规定，报告内容真实、准确、完整地反映了公司的实际情况，不存在任何虚假记载、误导性陈述或者重大遗漏。</w:t>
      </w:r>
    </w:p>
    <w:p w:rsidR="002C1E6D" w:rsidRDefault="002C1E6D">
      <w:pPr>
        <w:pStyle w:val="a9"/>
        <w:adjustRightInd w:val="0"/>
        <w:snapToGrid w:val="0"/>
        <w:spacing w:before="0" w:beforeAutospacing="0" w:after="0" w:afterAutospacing="0" w:line="360" w:lineRule="auto"/>
        <w:ind w:rightChars="85" w:right="178" w:firstLineChars="196" w:firstLine="470"/>
        <w:jc w:val="both"/>
        <w:rPr>
          <w:rStyle w:val="da"/>
          <w:rFonts w:asciiTheme="minorEastAsia" w:eastAsiaTheme="minorEastAsia" w:hAnsiTheme="minorEastAsia" w:cs="Times New Roman"/>
        </w:rPr>
      </w:pPr>
      <w:r>
        <w:rPr>
          <w:rStyle w:val="da"/>
          <w:rFonts w:ascii="Times New Roman" w:hAnsi="Times New Roman" w:cs="Times New Roman" w:hint="eastAsia"/>
          <w:color w:val="auto"/>
        </w:rPr>
        <w:t>《中百控股集团股份有限公司</w:t>
      </w:r>
      <w:r>
        <w:rPr>
          <w:rStyle w:val="da"/>
          <w:rFonts w:ascii="Times New Roman" w:hAnsi="Times New Roman" w:cs="Times New Roman" w:hint="eastAsia"/>
          <w:color w:val="auto"/>
        </w:rPr>
        <w:t>2021</w:t>
      </w:r>
      <w:r>
        <w:rPr>
          <w:rStyle w:val="da"/>
          <w:rFonts w:ascii="Times New Roman" w:hAnsi="Times New Roman" w:cs="Times New Roman" w:hint="eastAsia"/>
          <w:color w:val="auto"/>
        </w:rPr>
        <w:t>年年度报告》及《中百控股集团股份有限公司</w:t>
      </w:r>
      <w:r>
        <w:rPr>
          <w:rStyle w:val="da"/>
          <w:rFonts w:ascii="Times New Roman" w:hAnsi="Times New Roman" w:cs="Times New Roman" w:hint="eastAsia"/>
          <w:color w:val="auto"/>
        </w:rPr>
        <w:t>2021</w:t>
      </w:r>
      <w:r>
        <w:rPr>
          <w:rStyle w:val="da"/>
          <w:rFonts w:ascii="Times New Roman" w:hAnsi="Times New Roman" w:cs="Times New Roman" w:hint="eastAsia"/>
          <w:color w:val="auto"/>
        </w:rPr>
        <w:t>年年度报告摘要》（公告编号：</w:t>
      </w:r>
      <w:r>
        <w:rPr>
          <w:rStyle w:val="da"/>
          <w:rFonts w:ascii="Times New Roman" w:hAnsi="Times New Roman" w:cs="Times New Roman" w:hint="eastAsia"/>
          <w:color w:val="auto"/>
        </w:rPr>
        <w:t>2022-007</w:t>
      </w:r>
      <w:r>
        <w:rPr>
          <w:rStyle w:val="da"/>
          <w:rFonts w:ascii="Times New Roman" w:hAnsi="Times New Roman" w:cs="Times New Roman" w:hint="eastAsia"/>
          <w:color w:val="auto"/>
        </w:rPr>
        <w:t>）详见同日巨潮网公告。</w:t>
      </w:r>
    </w:p>
    <w:p w:rsidR="00282DAB" w:rsidRDefault="00BD099F" w:rsidP="00CC2B24">
      <w:pPr>
        <w:pStyle w:val="a9"/>
        <w:adjustRightInd w:val="0"/>
        <w:snapToGrid w:val="0"/>
        <w:spacing w:beforeLines="50" w:beforeAutospacing="0" w:after="0" w:afterAutospacing="0" w:line="360" w:lineRule="auto"/>
        <w:ind w:rightChars="85" w:right="178" w:firstLineChars="196" w:firstLine="470"/>
        <w:rPr>
          <w:rStyle w:val="da"/>
          <w:rFonts w:ascii="黑体" w:eastAsia="黑体" w:hAnsi="黑体" w:cs="Times New Roman"/>
        </w:rPr>
      </w:pPr>
      <w:r>
        <w:rPr>
          <w:rStyle w:val="da"/>
          <w:rFonts w:ascii="黑体" w:eastAsia="黑体" w:hAnsi="黑体" w:cs="Times New Roman"/>
        </w:rPr>
        <w:t>三、</w:t>
      </w:r>
      <w:r w:rsidR="009C6060" w:rsidRPr="008E1338">
        <w:rPr>
          <w:rStyle w:val="da"/>
          <w:rFonts w:ascii="黑体" w:eastAsia="黑体" w:hAnsi="黑体" w:cs="Times New Roman" w:hint="eastAsia"/>
        </w:rPr>
        <w:t>2021年利润分配预案</w:t>
      </w:r>
      <w:r>
        <w:rPr>
          <w:rStyle w:val="da"/>
          <w:rFonts w:ascii="黑体" w:eastAsia="黑体" w:hAnsi="黑体" w:cs="Times New Roman" w:hint="eastAsia"/>
        </w:rPr>
        <w:t>。</w:t>
      </w:r>
    </w:p>
    <w:p w:rsidR="002C1E6D" w:rsidRDefault="002C1E6D" w:rsidP="00D1355D">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hint="eastAsia"/>
          <w:color w:val="auto"/>
        </w:rPr>
        <w:t>3</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D1355D" w:rsidRPr="00D1355D" w:rsidRDefault="002C1E6D" w:rsidP="00D1355D">
      <w:pPr>
        <w:pStyle w:val="a9"/>
        <w:adjustRightInd w:val="0"/>
        <w:snapToGrid w:val="0"/>
        <w:spacing w:before="0" w:beforeAutospacing="0" w:after="0" w:afterAutospacing="0" w:line="360" w:lineRule="auto"/>
        <w:ind w:rightChars="85" w:right="178" w:firstLineChars="196" w:firstLine="470"/>
        <w:jc w:val="both"/>
        <w:rPr>
          <w:rFonts w:cs="Times New Roman"/>
        </w:rPr>
      </w:pPr>
      <w:r>
        <w:rPr>
          <w:rStyle w:val="da"/>
          <w:rFonts w:asciiTheme="minorEastAsia" w:eastAsiaTheme="minorEastAsia" w:hAnsiTheme="minorEastAsia" w:cs="Times New Roman" w:hint="eastAsia"/>
        </w:rPr>
        <w:t>监事会认为：</w:t>
      </w:r>
      <w:r w:rsidR="00BD099F">
        <w:rPr>
          <w:rStyle w:val="da"/>
          <w:rFonts w:asciiTheme="minorEastAsia" w:eastAsiaTheme="minorEastAsia" w:hAnsiTheme="minorEastAsia" w:cs="Times New Roman" w:hint="eastAsia"/>
        </w:rPr>
        <w:t>公司2021年度利润分配预案符合公司的实际经营情况，符合相关法律法规、规范性文件及《公司章程》的规定，不存在损害投资者利益的情况。同意</w:t>
      </w:r>
      <w:r>
        <w:rPr>
          <w:rStyle w:val="da"/>
          <w:rFonts w:asciiTheme="minorEastAsia" w:eastAsiaTheme="minorEastAsia" w:hAnsiTheme="minorEastAsia" w:cs="Times New Roman" w:hint="eastAsia"/>
        </w:rPr>
        <w:t>公司</w:t>
      </w:r>
      <w:r w:rsidR="00BD099F">
        <w:rPr>
          <w:rStyle w:val="da"/>
          <w:rFonts w:asciiTheme="minorEastAsia" w:eastAsiaTheme="minorEastAsia" w:hAnsiTheme="minorEastAsia" w:cs="Times New Roman" w:hint="eastAsia"/>
        </w:rPr>
        <w:t>利润分配预案，</w:t>
      </w:r>
      <w:r w:rsidR="00BD099F">
        <w:rPr>
          <w:rStyle w:val="da"/>
          <w:rFonts w:cs="Times New Roman"/>
        </w:rPr>
        <w:t>并提交公司20</w:t>
      </w:r>
      <w:r w:rsidR="00BD099F">
        <w:rPr>
          <w:rStyle w:val="da"/>
          <w:rFonts w:cs="Times New Roman" w:hint="eastAsia"/>
        </w:rPr>
        <w:t>21</w:t>
      </w:r>
      <w:r w:rsidR="00BD099F">
        <w:rPr>
          <w:rStyle w:val="da"/>
          <w:rFonts w:cs="Times New Roman"/>
        </w:rPr>
        <w:t>年年度股东大会审议。</w:t>
      </w:r>
    </w:p>
    <w:p w:rsidR="002C1E6D" w:rsidRPr="00D1355D" w:rsidRDefault="002C1E6D" w:rsidP="00D1355D">
      <w:pPr>
        <w:pStyle w:val="a9"/>
        <w:adjustRightInd w:val="0"/>
        <w:snapToGrid w:val="0"/>
        <w:spacing w:before="0" w:beforeAutospacing="0" w:after="0" w:afterAutospacing="0" w:line="360" w:lineRule="auto"/>
        <w:ind w:rightChars="85" w:right="178" w:firstLineChars="196" w:firstLine="470"/>
        <w:jc w:val="both"/>
        <w:rPr>
          <w:rStyle w:val="da"/>
          <w:rFonts w:cs="Times New Roman"/>
        </w:rPr>
      </w:pPr>
      <w:r w:rsidRPr="00E06183">
        <w:rPr>
          <w:rStyle w:val="da"/>
          <w:rFonts w:asciiTheme="minorEastAsia" w:eastAsiaTheme="minorEastAsia" w:hAnsiTheme="minorEastAsia" w:cs="Times New Roman" w:hint="eastAsia"/>
          <w:color w:val="auto"/>
        </w:rPr>
        <w:t>《中百控股集团股份有限公司关于2021年度利润分配预案的公告》（公告编号：2022-008）详见同日巨潮网公告。</w:t>
      </w:r>
    </w:p>
    <w:p w:rsidR="00282DAB" w:rsidRDefault="00BD099F" w:rsidP="00D1355D">
      <w:pPr>
        <w:pStyle w:val="a9"/>
        <w:adjustRightInd w:val="0"/>
        <w:snapToGrid w:val="0"/>
        <w:spacing w:before="0" w:beforeAutospacing="0" w:after="0" w:afterAutospacing="0" w:line="360" w:lineRule="auto"/>
        <w:ind w:rightChars="85" w:right="178" w:firstLineChars="196" w:firstLine="470"/>
        <w:rPr>
          <w:rStyle w:val="da"/>
          <w:rFonts w:ascii="黑体" w:eastAsia="黑体" w:hAnsi="黑体" w:cs="Times New Roman"/>
        </w:rPr>
      </w:pPr>
      <w:r>
        <w:rPr>
          <w:rStyle w:val="da"/>
          <w:rFonts w:ascii="黑体" w:eastAsia="黑体" w:hAnsi="黑体" w:cs="Times New Roman"/>
        </w:rPr>
        <w:lastRenderedPageBreak/>
        <w:t>四、</w:t>
      </w:r>
      <w:r w:rsidR="008E1338" w:rsidRPr="008E1338">
        <w:rPr>
          <w:rStyle w:val="da"/>
          <w:rFonts w:ascii="黑体" w:eastAsia="黑体" w:hAnsi="黑体" w:cs="Times New Roman" w:hint="eastAsia"/>
        </w:rPr>
        <w:t>关于</w:t>
      </w:r>
      <w:r w:rsidR="008E1338" w:rsidRPr="008E1338">
        <w:rPr>
          <w:rStyle w:val="da"/>
          <w:rFonts w:ascii="黑体" w:eastAsia="黑体" w:hAnsi="黑体" w:cs="Times New Roman"/>
        </w:rPr>
        <w:t>20</w:t>
      </w:r>
      <w:r w:rsidR="008E1338" w:rsidRPr="008E1338">
        <w:rPr>
          <w:rStyle w:val="da"/>
          <w:rFonts w:ascii="黑体" w:eastAsia="黑体" w:hAnsi="黑体" w:cs="Times New Roman" w:hint="eastAsia"/>
        </w:rPr>
        <w:t>21年度内部控制</w:t>
      </w:r>
      <w:r w:rsidR="006F62A1">
        <w:rPr>
          <w:rStyle w:val="da"/>
          <w:rFonts w:ascii="黑体" w:eastAsia="黑体" w:hAnsi="黑体" w:cs="Times New Roman" w:hint="eastAsia"/>
        </w:rPr>
        <w:t>自我</w:t>
      </w:r>
      <w:r w:rsidR="008E1338" w:rsidRPr="008E1338">
        <w:rPr>
          <w:rStyle w:val="da"/>
          <w:rFonts w:ascii="黑体" w:eastAsia="黑体" w:hAnsi="黑体" w:cs="Times New Roman" w:hint="eastAsia"/>
        </w:rPr>
        <w:t>评价报告的议案</w:t>
      </w:r>
      <w:r>
        <w:rPr>
          <w:rStyle w:val="da"/>
          <w:rFonts w:ascii="黑体" w:eastAsia="黑体" w:hAnsi="黑体" w:cs="Times New Roman" w:hint="eastAsia"/>
        </w:rPr>
        <w:t>。</w:t>
      </w:r>
    </w:p>
    <w:p w:rsidR="00066DD1" w:rsidRDefault="00066DD1" w:rsidP="00D1355D">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hint="eastAsia"/>
          <w:color w:val="auto"/>
        </w:rPr>
        <w:t>3</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282DAB" w:rsidRPr="00CC38C7" w:rsidRDefault="00BD099F" w:rsidP="00D1355D">
      <w:pPr>
        <w:pStyle w:val="a9"/>
        <w:adjustRightInd w:val="0"/>
        <w:snapToGrid w:val="0"/>
        <w:spacing w:before="0" w:beforeAutospacing="0" w:after="0" w:afterAutospacing="0" w:line="360" w:lineRule="auto"/>
        <w:ind w:rightChars="85" w:right="178" w:firstLineChars="196" w:firstLine="470"/>
        <w:rPr>
          <w:rStyle w:val="da"/>
          <w:rFonts w:ascii="Times New Roman" w:hAnsi="Times New Roman" w:cs="Times New Roman"/>
        </w:rPr>
      </w:pPr>
      <w:r>
        <w:rPr>
          <w:rStyle w:val="da"/>
          <w:rFonts w:ascii="Times New Roman" w:cs="Times New Roman"/>
        </w:rPr>
        <w:t>公司监事会对公司内部控制自我评价报告发表的意见：公司建立了较为完善、有效的内部控制制度，公司现有的内部控制制度符合我国有关法律、法规和证券监管部门的要求，在所有重大方面保持了与公司业务及管理相关的有效的内部控制；公司《</w:t>
      </w:r>
      <w:r>
        <w:rPr>
          <w:rStyle w:val="da"/>
          <w:rFonts w:ascii="Times New Roman" w:hAnsi="Times New Roman" w:cs="Times New Roman"/>
        </w:rPr>
        <w:t>20</w:t>
      </w:r>
      <w:r>
        <w:rPr>
          <w:rStyle w:val="da"/>
          <w:rFonts w:ascii="Times New Roman" w:hAnsi="Times New Roman" w:cs="Times New Roman" w:hint="eastAsia"/>
        </w:rPr>
        <w:t>21</w:t>
      </w:r>
      <w:r>
        <w:rPr>
          <w:rStyle w:val="da"/>
          <w:rFonts w:ascii="Times New Roman" w:cs="Times New Roman"/>
        </w:rPr>
        <w:t>年度内部控制自我评价报告》</w:t>
      </w:r>
      <w:r>
        <w:rPr>
          <w:rStyle w:val="da"/>
          <w:rFonts w:ascii="Times New Roman" w:hAnsi="Times New Roman" w:cs="Times New Roman"/>
        </w:rPr>
        <w:t xml:space="preserve"> </w:t>
      </w:r>
      <w:r>
        <w:rPr>
          <w:rStyle w:val="da"/>
          <w:rFonts w:ascii="Times New Roman" w:cs="Times New Roman"/>
        </w:rPr>
        <w:t>真实、客观地反映了公司内部控制制度的建设及运行情况。</w:t>
      </w:r>
    </w:p>
    <w:p w:rsidR="00066DD1" w:rsidRPr="00066DD1" w:rsidRDefault="00066DD1" w:rsidP="00D1355D">
      <w:pPr>
        <w:pStyle w:val="a9"/>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t>《</w:t>
      </w:r>
      <w:r>
        <w:rPr>
          <w:rStyle w:val="da"/>
          <w:rFonts w:ascii="Times New Roman" w:hAnsi="Times New Roman" w:cs="Times New Roman" w:hint="eastAsia"/>
          <w:color w:val="auto"/>
        </w:rPr>
        <w:t>中百控股集团股份有限公司</w:t>
      </w:r>
      <w:r>
        <w:t>内部控制自我评价报告》详见</w:t>
      </w:r>
      <w:r>
        <w:rPr>
          <w:rFonts w:hint="eastAsia"/>
        </w:rPr>
        <w:t>同日</w:t>
      </w:r>
      <w:r>
        <w:t>巨潮网公告。</w:t>
      </w:r>
    </w:p>
    <w:p w:rsidR="00282DAB" w:rsidRDefault="00BD099F" w:rsidP="00CC2B24">
      <w:pPr>
        <w:pStyle w:val="a9"/>
        <w:adjustRightInd w:val="0"/>
        <w:snapToGrid w:val="0"/>
        <w:spacing w:beforeLines="50" w:beforeAutospacing="0" w:after="0" w:afterAutospacing="0" w:line="360" w:lineRule="auto"/>
        <w:ind w:rightChars="85" w:right="178" w:firstLineChars="196" w:firstLine="470"/>
        <w:rPr>
          <w:rStyle w:val="da"/>
          <w:rFonts w:ascii="黑体" w:eastAsia="黑体" w:hAnsi="黑体" w:cs="Times New Roman"/>
        </w:rPr>
      </w:pPr>
      <w:r>
        <w:rPr>
          <w:rStyle w:val="da"/>
          <w:rFonts w:ascii="黑体" w:eastAsia="黑体" w:hAnsi="黑体" w:cs="Times New Roman" w:hint="eastAsia"/>
        </w:rPr>
        <w:t>五、</w:t>
      </w:r>
      <w:r w:rsidR="008E1338" w:rsidRPr="008E1338">
        <w:rPr>
          <w:rStyle w:val="da"/>
          <w:rFonts w:ascii="黑体" w:eastAsia="黑体" w:hAnsi="黑体" w:cs="Times New Roman" w:hint="eastAsia"/>
        </w:rPr>
        <w:t>关于补选监事的议案</w:t>
      </w:r>
      <w:r>
        <w:rPr>
          <w:rStyle w:val="da"/>
          <w:rFonts w:ascii="黑体" w:eastAsia="黑体" w:hAnsi="黑体" w:cs="Times New Roman"/>
        </w:rPr>
        <w:t>。</w:t>
      </w:r>
    </w:p>
    <w:p w:rsidR="00CC38C7" w:rsidRPr="00D1355D" w:rsidRDefault="00CC38C7" w:rsidP="00D1355D">
      <w:pPr>
        <w:pStyle w:val="a9"/>
        <w:adjustRightInd w:val="0"/>
        <w:snapToGrid w:val="0"/>
        <w:spacing w:before="0" w:beforeAutospacing="0" w:after="0" w:afterAutospacing="0" w:line="360" w:lineRule="auto"/>
        <w:ind w:firstLineChars="200" w:firstLine="480"/>
        <w:jc w:val="both"/>
        <w:rPr>
          <w:rStyle w:val="da"/>
          <w:rFonts w:asciiTheme="minorEastAsia" w:eastAsiaTheme="minorEastAsia" w:hAnsiTheme="minorEastAsia" w:cs="Times New Roman"/>
          <w:color w:val="auto"/>
        </w:rPr>
      </w:pPr>
      <w:r w:rsidRPr="00D1355D">
        <w:rPr>
          <w:rStyle w:val="da"/>
          <w:rFonts w:asciiTheme="minorEastAsia" w:eastAsiaTheme="minorEastAsia" w:hAnsiTheme="minorEastAsia" w:cs="Times New Roman"/>
          <w:color w:val="auto"/>
        </w:rPr>
        <w:t>表决结果：</w:t>
      </w:r>
      <w:r w:rsidRPr="00D1355D">
        <w:rPr>
          <w:rStyle w:val="da"/>
          <w:rFonts w:asciiTheme="minorEastAsia" w:eastAsiaTheme="minorEastAsia" w:hAnsiTheme="minorEastAsia" w:cs="Times New Roman" w:hint="eastAsia"/>
          <w:color w:val="auto"/>
        </w:rPr>
        <w:t>3</w:t>
      </w:r>
      <w:r w:rsidRPr="00D1355D">
        <w:rPr>
          <w:rStyle w:val="da"/>
          <w:rFonts w:asciiTheme="minorEastAsia" w:eastAsiaTheme="minorEastAsia" w:hAnsiTheme="minorEastAsia" w:cs="Times New Roman"/>
          <w:color w:val="auto"/>
        </w:rPr>
        <w:t>票</w:t>
      </w:r>
      <w:r w:rsidRPr="00D1355D">
        <w:rPr>
          <w:rStyle w:val="da"/>
          <w:rFonts w:asciiTheme="minorEastAsia" w:eastAsiaTheme="minorEastAsia" w:hAnsiTheme="minorEastAsia" w:cs="Times New Roman" w:hint="eastAsia"/>
          <w:color w:val="auto"/>
        </w:rPr>
        <w:t>同意</w:t>
      </w:r>
      <w:r w:rsidRPr="00D1355D">
        <w:rPr>
          <w:rStyle w:val="da"/>
          <w:rFonts w:asciiTheme="minorEastAsia" w:eastAsiaTheme="minorEastAsia" w:hAnsiTheme="minorEastAsia" w:cs="Times New Roman"/>
          <w:color w:val="auto"/>
        </w:rPr>
        <w:t>，0票反对，0票弃权。</w:t>
      </w:r>
    </w:p>
    <w:p w:rsidR="00282DAB" w:rsidRPr="00D1355D" w:rsidRDefault="00BD099F" w:rsidP="00D1355D">
      <w:pPr>
        <w:pStyle w:val="a9"/>
        <w:adjustRightInd w:val="0"/>
        <w:snapToGrid w:val="0"/>
        <w:spacing w:before="0" w:beforeAutospacing="0" w:after="0" w:afterAutospacing="0" w:line="360" w:lineRule="auto"/>
        <w:ind w:rightChars="85" w:right="178" w:firstLineChars="196" w:firstLine="470"/>
        <w:rPr>
          <w:rFonts w:asciiTheme="minorEastAsia" w:eastAsiaTheme="minorEastAsia" w:hAnsiTheme="minorEastAsia"/>
          <w:bCs/>
        </w:rPr>
      </w:pPr>
      <w:r w:rsidRPr="00D1355D">
        <w:rPr>
          <w:rFonts w:asciiTheme="minorEastAsia" w:eastAsiaTheme="minorEastAsia" w:hAnsiTheme="minorEastAsia" w:hint="eastAsia"/>
          <w:bCs/>
        </w:rPr>
        <w:t>胡剑先生、王颖女士</w:t>
      </w:r>
      <w:r w:rsidR="00E542F2" w:rsidRPr="00D1355D">
        <w:rPr>
          <w:rFonts w:asciiTheme="minorEastAsia" w:eastAsiaTheme="minorEastAsia" w:hAnsiTheme="minorEastAsia" w:hint="eastAsia"/>
          <w:bCs/>
        </w:rPr>
        <w:t>因工作调整原因</w:t>
      </w:r>
      <w:r w:rsidRPr="00D1355D">
        <w:rPr>
          <w:rFonts w:asciiTheme="minorEastAsia" w:eastAsiaTheme="minorEastAsia" w:hAnsiTheme="minorEastAsia" w:hint="eastAsia"/>
          <w:bCs/>
        </w:rPr>
        <w:t>辞去公司监事职务，公司股东武汉商联（集团）股份有限公司</w:t>
      </w:r>
      <w:r w:rsidR="00E542F2" w:rsidRPr="00D1355D">
        <w:rPr>
          <w:rFonts w:asciiTheme="minorEastAsia" w:eastAsiaTheme="minorEastAsia" w:hAnsiTheme="minorEastAsia" w:hint="eastAsia"/>
          <w:bCs/>
        </w:rPr>
        <w:t>、武汉华汉投资管理有限公司分别</w:t>
      </w:r>
      <w:r w:rsidRPr="00D1355D">
        <w:rPr>
          <w:rFonts w:asciiTheme="minorEastAsia" w:eastAsiaTheme="minorEastAsia" w:hAnsiTheme="minorEastAsia" w:hint="eastAsia"/>
          <w:bCs/>
        </w:rPr>
        <w:t>提名郭亚东先生</w:t>
      </w:r>
      <w:r w:rsidR="00E542F2" w:rsidRPr="00D1355D">
        <w:rPr>
          <w:rFonts w:asciiTheme="minorEastAsia" w:eastAsiaTheme="minorEastAsia" w:hAnsiTheme="minorEastAsia" w:hint="eastAsia"/>
          <w:bCs/>
        </w:rPr>
        <w:t>、刘唯女士</w:t>
      </w:r>
      <w:r w:rsidRPr="00D1355D">
        <w:rPr>
          <w:rFonts w:asciiTheme="minorEastAsia" w:eastAsiaTheme="minorEastAsia" w:hAnsiTheme="minorEastAsia" w:hint="eastAsia"/>
          <w:bCs/>
        </w:rPr>
        <w:t>（简历附后）为公司第十届监事会监事候选人，任期自股东大会审议通过之日起至本届监事会届满。</w:t>
      </w:r>
    </w:p>
    <w:p w:rsidR="00282DAB" w:rsidRPr="00D1355D" w:rsidRDefault="00BD099F" w:rsidP="00D1355D">
      <w:pPr>
        <w:pStyle w:val="a9"/>
        <w:adjustRightInd w:val="0"/>
        <w:snapToGrid w:val="0"/>
        <w:spacing w:before="0" w:beforeAutospacing="0" w:after="0" w:afterAutospacing="0" w:line="360" w:lineRule="auto"/>
        <w:ind w:rightChars="85" w:right="178" w:firstLineChars="200" w:firstLine="480"/>
        <w:rPr>
          <w:rStyle w:val="da"/>
          <w:rFonts w:asciiTheme="minorEastAsia" w:eastAsiaTheme="minorEastAsia" w:hAnsiTheme="minorEastAsia" w:cs="Times New Roman"/>
        </w:rPr>
      </w:pPr>
      <w:r w:rsidRPr="00D1355D">
        <w:rPr>
          <w:rStyle w:val="da"/>
          <w:rFonts w:asciiTheme="minorEastAsia" w:eastAsiaTheme="minorEastAsia" w:hAnsiTheme="minorEastAsia" w:cs="Times New Roman" w:hint="eastAsia"/>
        </w:rPr>
        <w:t>上述</w:t>
      </w:r>
      <w:r w:rsidR="00214F7B" w:rsidRPr="00D1355D">
        <w:rPr>
          <w:rStyle w:val="da"/>
          <w:rFonts w:asciiTheme="minorEastAsia" w:eastAsiaTheme="minorEastAsia" w:hAnsiTheme="minorEastAsia" w:cs="Times New Roman" w:hint="eastAsia"/>
        </w:rPr>
        <w:t>第一至三</w:t>
      </w:r>
      <w:r w:rsidR="00066DD1" w:rsidRPr="00D1355D">
        <w:rPr>
          <w:rStyle w:val="da"/>
          <w:rFonts w:asciiTheme="minorEastAsia" w:eastAsiaTheme="minorEastAsia" w:hAnsiTheme="minorEastAsia" w:cs="Times New Roman" w:hint="eastAsia"/>
        </w:rPr>
        <w:t>项、第五项</w:t>
      </w:r>
      <w:r w:rsidRPr="00D1355D">
        <w:rPr>
          <w:rStyle w:val="da"/>
          <w:rFonts w:asciiTheme="minorEastAsia" w:eastAsiaTheme="minorEastAsia" w:hAnsiTheme="minorEastAsia" w:cs="Times New Roman" w:hint="eastAsia"/>
        </w:rPr>
        <w:t>议案须提交公司2021年年度股东大会审议批准。</w:t>
      </w:r>
    </w:p>
    <w:p w:rsidR="00282DAB" w:rsidRPr="00D1355D" w:rsidRDefault="00BD099F" w:rsidP="00D1355D">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rPr>
      </w:pPr>
      <w:r w:rsidRPr="00D1355D">
        <w:rPr>
          <w:rFonts w:asciiTheme="minorEastAsia" w:eastAsiaTheme="minorEastAsia" w:hAnsiTheme="minorEastAsia" w:hint="eastAsia"/>
          <w:kern w:val="0"/>
          <w:sz w:val="24"/>
        </w:rPr>
        <w:t>特此公告。</w:t>
      </w:r>
    </w:p>
    <w:p w:rsidR="00282DAB" w:rsidRDefault="00282DAB" w:rsidP="00D1355D">
      <w:pPr>
        <w:autoSpaceDE w:val="0"/>
        <w:autoSpaceDN w:val="0"/>
        <w:adjustRightInd w:val="0"/>
        <w:snapToGrid w:val="0"/>
        <w:spacing w:line="360" w:lineRule="auto"/>
        <w:ind w:firstLineChars="200" w:firstLine="480"/>
        <w:jc w:val="left"/>
        <w:rPr>
          <w:kern w:val="0"/>
          <w:sz w:val="24"/>
        </w:rPr>
      </w:pPr>
    </w:p>
    <w:p w:rsidR="00282DAB" w:rsidRDefault="00282DAB" w:rsidP="00D1355D">
      <w:pPr>
        <w:autoSpaceDE w:val="0"/>
        <w:autoSpaceDN w:val="0"/>
        <w:adjustRightInd w:val="0"/>
        <w:snapToGrid w:val="0"/>
        <w:spacing w:line="360" w:lineRule="auto"/>
        <w:ind w:firstLineChars="200" w:firstLine="480"/>
        <w:jc w:val="left"/>
        <w:rPr>
          <w:kern w:val="0"/>
          <w:sz w:val="24"/>
        </w:rPr>
      </w:pPr>
    </w:p>
    <w:p w:rsidR="00282DAB" w:rsidRDefault="00282DAB" w:rsidP="00D1355D">
      <w:pPr>
        <w:autoSpaceDE w:val="0"/>
        <w:autoSpaceDN w:val="0"/>
        <w:adjustRightInd w:val="0"/>
        <w:snapToGrid w:val="0"/>
        <w:spacing w:line="360" w:lineRule="auto"/>
        <w:ind w:firstLineChars="200" w:firstLine="480"/>
        <w:jc w:val="left"/>
        <w:rPr>
          <w:rStyle w:val="da"/>
          <w:kern w:val="0"/>
          <w:sz w:val="24"/>
        </w:rPr>
      </w:pPr>
    </w:p>
    <w:p w:rsidR="00282DAB" w:rsidRDefault="00BD099F" w:rsidP="00D1355D">
      <w:pPr>
        <w:adjustRightInd w:val="0"/>
        <w:snapToGrid w:val="0"/>
        <w:spacing w:line="360" w:lineRule="auto"/>
        <w:ind w:firstLineChars="2241" w:firstLine="5378"/>
        <w:rPr>
          <w:rStyle w:val="da"/>
          <w:rFonts w:ascii="宋体" w:hAnsi="宋体"/>
          <w:sz w:val="24"/>
        </w:rPr>
      </w:pPr>
      <w:r>
        <w:rPr>
          <w:rStyle w:val="da"/>
          <w:rFonts w:ascii="宋体" w:hAnsi="宋体" w:hint="eastAsia"/>
          <w:sz w:val="24"/>
        </w:rPr>
        <w:t>中百控股集团股份有限公司</w:t>
      </w:r>
    </w:p>
    <w:p w:rsidR="00282DAB" w:rsidRDefault="00BD099F" w:rsidP="00D1355D">
      <w:pPr>
        <w:adjustRightInd w:val="0"/>
        <w:snapToGrid w:val="0"/>
        <w:spacing w:line="360" w:lineRule="auto"/>
        <w:ind w:firstLineChars="2682" w:firstLine="6437"/>
        <w:rPr>
          <w:rStyle w:val="da"/>
          <w:rFonts w:ascii="宋体" w:hAnsi="宋体"/>
          <w:sz w:val="24"/>
        </w:rPr>
      </w:pPr>
      <w:r>
        <w:rPr>
          <w:rStyle w:val="da"/>
          <w:rFonts w:ascii="宋体" w:hAnsi="宋体" w:hint="eastAsia"/>
          <w:sz w:val="24"/>
        </w:rPr>
        <w:t>监 事 会</w:t>
      </w:r>
    </w:p>
    <w:p w:rsidR="00282DAB" w:rsidRDefault="00BD099F" w:rsidP="00D1355D">
      <w:pPr>
        <w:adjustRightInd w:val="0"/>
        <w:snapToGrid w:val="0"/>
        <w:spacing w:line="360" w:lineRule="auto"/>
        <w:ind w:firstLineChars="2455" w:firstLine="5892"/>
        <w:rPr>
          <w:kern w:val="0"/>
          <w:sz w:val="24"/>
        </w:rPr>
      </w:pPr>
      <w:r>
        <w:rPr>
          <w:rFonts w:hint="eastAsia"/>
          <w:kern w:val="0"/>
          <w:sz w:val="24"/>
        </w:rPr>
        <w:t>2022</w:t>
      </w:r>
      <w:r>
        <w:rPr>
          <w:rFonts w:hint="eastAsia"/>
          <w:kern w:val="0"/>
          <w:sz w:val="24"/>
        </w:rPr>
        <w:t>年</w:t>
      </w:r>
      <w:r>
        <w:rPr>
          <w:rFonts w:hint="eastAsia"/>
          <w:kern w:val="0"/>
          <w:sz w:val="24"/>
        </w:rPr>
        <w:t>3</w:t>
      </w:r>
      <w:r>
        <w:rPr>
          <w:rFonts w:hint="eastAsia"/>
          <w:kern w:val="0"/>
          <w:sz w:val="24"/>
        </w:rPr>
        <w:t>月</w:t>
      </w:r>
      <w:r>
        <w:rPr>
          <w:rFonts w:hint="eastAsia"/>
          <w:kern w:val="0"/>
          <w:sz w:val="24"/>
        </w:rPr>
        <w:t>26</w:t>
      </w:r>
      <w:r>
        <w:rPr>
          <w:rFonts w:hint="eastAsia"/>
          <w:kern w:val="0"/>
          <w:sz w:val="24"/>
        </w:rPr>
        <w:t>日</w:t>
      </w:r>
    </w:p>
    <w:p w:rsidR="00282DAB" w:rsidRDefault="00282DAB">
      <w:pPr>
        <w:adjustRightInd w:val="0"/>
        <w:snapToGrid w:val="0"/>
        <w:spacing w:line="360" w:lineRule="auto"/>
        <w:ind w:firstLineChars="2455" w:firstLine="5892"/>
        <w:rPr>
          <w:kern w:val="0"/>
          <w:sz w:val="24"/>
        </w:rPr>
      </w:pPr>
    </w:p>
    <w:p w:rsidR="00282DAB" w:rsidRDefault="00282DAB">
      <w:pPr>
        <w:adjustRightInd w:val="0"/>
        <w:snapToGrid w:val="0"/>
        <w:spacing w:line="360" w:lineRule="auto"/>
        <w:ind w:firstLineChars="2455" w:firstLine="5892"/>
        <w:rPr>
          <w:kern w:val="0"/>
          <w:sz w:val="24"/>
        </w:rPr>
      </w:pPr>
    </w:p>
    <w:p w:rsidR="00282DAB" w:rsidRDefault="00282DAB">
      <w:pPr>
        <w:adjustRightInd w:val="0"/>
        <w:snapToGrid w:val="0"/>
        <w:spacing w:line="360" w:lineRule="auto"/>
        <w:ind w:firstLineChars="2455" w:firstLine="5892"/>
        <w:rPr>
          <w:kern w:val="0"/>
          <w:sz w:val="24"/>
        </w:rPr>
      </w:pPr>
    </w:p>
    <w:p w:rsidR="00D1355D" w:rsidRPr="00D1355D" w:rsidRDefault="00D1355D" w:rsidP="00D1355D">
      <w:pPr>
        <w:pStyle w:val="a0"/>
        <w:ind w:firstLine="240"/>
      </w:pPr>
    </w:p>
    <w:p w:rsidR="00282DAB" w:rsidRDefault="00282DAB">
      <w:pPr>
        <w:adjustRightInd w:val="0"/>
        <w:snapToGrid w:val="0"/>
        <w:spacing w:line="360" w:lineRule="auto"/>
        <w:ind w:firstLineChars="2455" w:firstLine="5892"/>
        <w:rPr>
          <w:kern w:val="0"/>
          <w:sz w:val="24"/>
        </w:rPr>
      </w:pPr>
    </w:p>
    <w:p w:rsidR="00045DD3" w:rsidRDefault="00045DD3" w:rsidP="00045DD3">
      <w:pPr>
        <w:pStyle w:val="a0"/>
        <w:ind w:firstLine="240"/>
      </w:pPr>
    </w:p>
    <w:p w:rsidR="00045DD3" w:rsidRPr="00045DD3" w:rsidRDefault="00045DD3" w:rsidP="00045DD3">
      <w:pPr>
        <w:pStyle w:val="a5"/>
      </w:pPr>
    </w:p>
    <w:p w:rsidR="00282DAB" w:rsidRDefault="00282DAB">
      <w:pPr>
        <w:adjustRightInd w:val="0"/>
        <w:snapToGrid w:val="0"/>
        <w:spacing w:line="360" w:lineRule="auto"/>
        <w:ind w:firstLineChars="2455" w:firstLine="5892"/>
        <w:rPr>
          <w:kern w:val="0"/>
          <w:sz w:val="24"/>
        </w:rPr>
      </w:pPr>
    </w:p>
    <w:p w:rsidR="00282DAB" w:rsidRDefault="00282DAB">
      <w:pPr>
        <w:adjustRightInd w:val="0"/>
        <w:snapToGrid w:val="0"/>
        <w:spacing w:line="360" w:lineRule="auto"/>
        <w:ind w:firstLineChars="2455" w:firstLine="5892"/>
        <w:rPr>
          <w:kern w:val="0"/>
          <w:sz w:val="24"/>
        </w:rPr>
      </w:pPr>
    </w:p>
    <w:p w:rsidR="00282DAB" w:rsidRDefault="00BD099F">
      <w:pPr>
        <w:autoSpaceDE w:val="0"/>
        <w:autoSpaceDN w:val="0"/>
        <w:adjustRightInd w:val="0"/>
        <w:snapToGrid w:val="0"/>
        <w:spacing w:line="360" w:lineRule="auto"/>
        <w:ind w:firstLineChars="196" w:firstLine="627"/>
        <w:jc w:val="center"/>
        <w:rPr>
          <w:rFonts w:ascii="宋体" w:cs="宋体"/>
          <w:color w:val="000000"/>
          <w:sz w:val="24"/>
        </w:rPr>
      </w:pPr>
      <w:r>
        <w:rPr>
          <w:rFonts w:ascii="黑体" w:eastAsia="黑体" w:hAnsi="黑体" w:cs="宋体" w:hint="eastAsia"/>
          <w:color w:val="000000"/>
          <w:sz w:val="32"/>
          <w:szCs w:val="32"/>
        </w:rPr>
        <w:lastRenderedPageBreak/>
        <w:t>简 历</w:t>
      </w:r>
    </w:p>
    <w:p w:rsidR="00CC2B24" w:rsidRDefault="00CC2B24" w:rsidP="00CC2B24">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r>
        <w:rPr>
          <w:rFonts w:ascii="宋体" w:cs="宋体" w:hint="eastAsia"/>
          <w:color w:val="000000"/>
          <w:sz w:val="24"/>
        </w:rPr>
        <w:t>郭亚东，男，1982年出生，中共党员，硕士研究生学历。曾任武汉市人民政府办公厅综合二处任主任科员、武汉国有资产经营有限公司战略研究部（董事会办公室）副经理（副主任）、办公室主任。现任武汉商贸集团有限公司综合办公室主任，兼任武汉金融资产交易所有限公司董事。</w:t>
      </w:r>
    </w:p>
    <w:p w:rsidR="00CC2B24" w:rsidRDefault="00CC2B24" w:rsidP="00CC2B24">
      <w:pPr>
        <w:autoSpaceDE w:val="0"/>
        <w:autoSpaceDN w:val="0"/>
        <w:spacing w:line="360" w:lineRule="auto"/>
        <w:ind w:firstLineChars="200" w:firstLine="480"/>
        <w:jc w:val="left"/>
        <w:rPr>
          <w:rFonts w:ascii="宋体" w:hAnsi="宋体"/>
          <w:sz w:val="24"/>
        </w:rPr>
      </w:pPr>
      <w:r>
        <w:rPr>
          <w:rFonts w:ascii="宋体" w:hAnsi="宋体" w:hint="eastAsia"/>
          <w:sz w:val="24"/>
        </w:rPr>
        <w:t>未持有公司股份，不存在不得提名为监事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除在公司第一大股东武汉商联（集团）股份有限公司的控股股东武汉商贸集团有限公司及关联企业任职外，未与其他持有公司5%以上股份的股东、实际控制人、公司其他董事、监事和高级管理人员存在关联关系。</w:t>
      </w:r>
    </w:p>
    <w:p w:rsidR="00282DAB" w:rsidRPr="00CC2B24" w:rsidRDefault="00282DA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28"/>
          <w:szCs w:val="28"/>
        </w:rPr>
      </w:pPr>
    </w:p>
    <w:p w:rsidR="00282DAB" w:rsidRDefault="00BD099F">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r>
        <w:rPr>
          <w:rFonts w:ascii="宋体" w:cs="宋体" w:hint="eastAsia"/>
          <w:color w:val="000000"/>
          <w:sz w:val="24"/>
        </w:rPr>
        <w:t>刘唯，女，1981年出生，中共党员，硕士研究生学历。曾任武汉国有资产经营有限公司纪检监察室高级主管、纪检监察室副主任。现任武汉商贸集团有限公司纪委、监察专员办公室案件审理室主任。</w:t>
      </w:r>
    </w:p>
    <w:p w:rsidR="00282DAB" w:rsidRDefault="00BD099F">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r>
        <w:rPr>
          <w:rFonts w:ascii="宋体" w:cs="宋体" w:hint="eastAsia"/>
          <w:color w:val="000000"/>
          <w:sz w:val="24"/>
        </w:rPr>
        <w:t>未持有公司股份，不存在不得提名为监事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除在公司第一大股东武汉商联（集团）股份有限公司的控股股东武汉商贸集团有限公司任职外，未与其他持有公司5%以上股份的股东、实际控制人、公司其他董事、监事和高级管理人员存在关联关系。</w:t>
      </w:r>
    </w:p>
    <w:p w:rsidR="00282DAB" w:rsidRDefault="00282DA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p>
    <w:p w:rsidR="00282DAB" w:rsidRDefault="00282DAB">
      <w:pPr>
        <w:pStyle w:val="a5"/>
      </w:pPr>
    </w:p>
    <w:p w:rsidR="00282DAB" w:rsidRDefault="00282DAB">
      <w:pPr>
        <w:adjustRightInd w:val="0"/>
        <w:snapToGrid w:val="0"/>
        <w:spacing w:line="360" w:lineRule="auto"/>
        <w:rPr>
          <w:kern w:val="0"/>
          <w:sz w:val="24"/>
        </w:rPr>
      </w:pPr>
    </w:p>
    <w:sectPr w:rsidR="00282DAB" w:rsidSect="00282DAB">
      <w:pgSz w:w="11906" w:h="16838"/>
      <w:pgMar w:top="1440" w:right="155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AE3" w:rsidRDefault="00831AE3" w:rsidP="009C6060">
      <w:r>
        <w:separator/>
      </w:r>
    </w:p>
  </w:endnote>
  <w:endnote w:type="continuationSeparator" w:id="0">
    <w:p w:rsidR="00831AE3" w:rsidRDefault="00831AE3" w:rsidP="009C6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华文仿宋">
    <w:altName w:val="微软雅黑"/>
    <w:charset w:val="86"/>
    <w:family w:val="auto"/>
    <w:pitch w:val="default"/>
    <w:sig w:usb0="00000000" w:usb1="0000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AE3" w:rsidRDefault="00831AE3" w:rsidP="009C6060">
      <w:r>
        <w:separator/>
      </w:r>
    </w:p>
  </w:footnote>
  <w:footnote w:type="continuationSeparator" w:id="0">
    <w:p w:rsidR="00831AE3" w:rsidRDefault="00831AE3" w:rsidP="009C6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001"/>
    <w:rsid w:val="00005206"/>
    <w:rsid w:val="0001540E"/>
    <w:rsid w:val="0002629E"/>
    <w:rsid w:val="00026CD6"/>
    <w:rsid w:val="00037F85"/>
    <w:rsid w:val="00042C95"/>
    <w:rsid w:val="00045DD3"/>
    <w:rsid w:val="00052C54"/>
    <w:rsid w:val="000602DF"/>
    <w:rsid w:val="000617FA"/>
    <w:rsid w:val="00063028"/>
    <w:rsid w:val="00066DD1"/>
    <w:rsid w:val="000715FC"/>
    <w:rsid w:val="0007204F"/>
    <w:rsid w:val="000900F1"/>
    <w:rsid w:val="00092AF9"/>
    <w:rsid w:val="00094D53"/>
    <w:rsid w:val="000A1029"/>
    <w:rsid w:val="00100ACE"/>
    <w:rsid w:val="00133A7D"/>
    <w:rsid w:val="00140D95"/>
    <w:rsid w:val="00160C1B"/>
    <w:rsid w:val="00167D60"/>
    <w:rsid w:val="0017012B"/>
    <w:rsid w:val="001851EF"/>
    <w:rsid w:val="0018754E"/>
    <w:rsid w:val="00193331"/>
    <w:rsid w:val="001D0014"/>
    <w:rsid w:val="001E1A17"/>
    <w:rsid w:val="001E448D"/>
    <w:rsid w:val="001F79E9"/>
    <w:rsid w:val="00202B71"/>
    <w:rsid w:val="00214F7B"/>
    <w:rsid w:val="002175F8"/>
    <w:rsid w:val="00223DE3"/>
    <w:rsid w:val="0022427E"/>
    <w:rsid w:val="00227CEC"/>
    <w:rsid w:val="00234C49"/>
    <w:rsid w:val="002371A3"/>
    <w:rsid w:val="00251DEF"/>
    <w:rsid w:val="00260EF7"/>
    <w:rsid w:val="002629A5"/>
    <w:rsid w:val="00282DAB"/>
    <w:rsid w:val="00291872"/>
    <w:rsid w:val="002C1C8C"/>
    <w:rsid w:val="002C1E6D"/>
    <w:rsid w:val="002C35BD"/>
    <w:rsid w:val="002D038D"/>
    <w:rsid w:val="00300AF4"/>
    <w:rsid w:val="0034414A"/>
    <w:rsid w:val="003534D7"/>
    <w:rsid w:val="00383746"/>
    <w:rsid w:val="00394C07"/>
    <w:rsid w:val="003959C6"/>
    <w:rsid w:val="003A19FE"/>
    <w:rsid w:val="003B6934"/>
    <w:rsid w:val="003C4568"/>
    <w:rsid w:val="003D582C"/>
    <w:rsid w:val="003F4001"/>
    <w:rsid w:val="003F78C5"/>
    <w:rsid w:val="0041120B"/>
    <w:rsid w:val="00426F69"/>
    <w:rsid w:val="0043179B"/>
    <w:rsid w:val="00445E17"/>
    <w:rsid w:val="00451559"/>
    <w:rsid w:val="0045306F"/>
    <w:rsid w:val="00454842"/>
    <w:rsid w:val="00467706"/>
    <w:rsid w:val="004770A9"/>
    <w:rsid w:val="00477A3B"/>
    <w:rsid w:val="00491839"/>
    <w:rsid w:val="00496C95"/>
    <w:rsid w:val="004A0E73"/>
    <w:rsid w:val="004B6B45"/>
    <w:rsid w:val="004C4711"/>
    <w:rsid w:val="004E4A28"/>
    <w:rsid w:val="004F1C23"/>
    <w:rsid w:val="00501EC7"/>
    <w:rsid w:val="00523507"/>
    <w:rsid w:val="005245A4"/>
    <w:rsid w:val="00555738"/>
    <w:rsid w:val="00585BD4"/>
    <w:rsid w:val="00591FD2"/>
    <w:rsid w:val="005926E1"/>
    <w:rsid w:val="005A34C7"/>
    <w:rsid w:val="005C0A9B"/>
    <w:rsid w:val="005C346A"/>
    <w:rsid w:val="005C580F"/>
    <w:rsid w:val="005E37B9"/>
    <w:rsid w:val="00621901"/>
    <w:rsid w:val="00626BE3"/>
    <w:rsid w:val="00636380"/>
    <w:rsid w:val="00642B0A"/>
    <w:rsid w:val="00655FF5"/>
    <w:rsid w:val="00663BD1"/>
    <w:rsid w:val="00673759"/>
    <w:rsid w:val="00684DAE"/>
    <w:rsid w:val="006B1C5A"/>
    <w:rsid w:val="006B1FFC"/>
    <w:rsid w:val="006B2614"/>
    <w:rsid w:val="006B67FD"/>
    <w:rsid w:val="006B7820"/>
    <w:rsid w:val="006E2EE5"/>
    <w:rsid w:val="006F62A1"/>
    <w:rsid w:val="00700827"/>
    <w:rsid w:val="00700DAE"/>
    <w:rsid w:val="00706E09"/>
    <w:rsid w:val="00713DE0"/>
    <w:rsid w:val="0072523B"/>
    <w:rsid w:val="0074196C"/>
    <w:rsid w:val="00742BEB"/>
    <w:rsid w:val="00747922"/>
    <w:rsid w:val="00771942"/>
    <w:rsid w:val="007760F4"/>
    <w:rsid w:val="007C6886"/>
    <w:rsid w:val="007D63D1"/>
    <w:rsid w:val="007E2A63"/>
    <w:rsid w:val="0080131D"/>
    <w:rsid w:val="00823055"/>
    <w:rsid w:val="0082548F"/>
    <w:rsid w:val="00831AE3"/>
    <w:rsid w:val="00834BC9"/>
    <w:rsid w:val="00853FE9"/>
    <w:rsid w:val="00863C6B"/>
    <w:rsid w:val="00864032"/>
    <w:rsid w:val="008723E4"/>
    <w:rsid w:val="008726E0"/>
    <w:rsid w:val="00872F8B"/>
    <w:rsid w:val="00881074"/>
    <w:rsid w:val="008A1247"/>
    <w:rsid w:val="008E1338"/>
    <w:rsid w:val="008E768C"/>
    <w:rsid w:val="008F21F3"/>
    <w:rsid w:val="008F3CC2"/>
    <w:rsid w:val="008F5E4D"/>
    <w:rsid w:val="0091067F"/>
    <w:rsid w:val="00941EAE"/>
    <w:rsid w:val="00951EB2"/>
    <w:rsid w:val="00956081"/>
    <w:rsid w:val="00960455"/>
    <w:rsid w:val="009A0929"/>
    <w:rsid w:val="009A4338"/>
    <w:rsid w:val="009A5846"/>
    <w:rsid w:val="009A6D03"/>
    <w:rsid w:val="009C02A4"/>
    <w:rsid w:val="009C373A"/>
    <w:rsid w:val="009C6060"/>
    <w:rsid w:val="009C688D"/>
    <w:rsid w:val="009E076D"/>
    <w:rsid w:val="009E1C20"/>
    <w:rsid w:val="009E7630"/>
    <w:rsid w:val="009F5621"/>
    <w:rsid w:val="00A12808"/>
    <w:rsid w:val="00A40308"/>
    <w:rsid w:val="00A42F9E"/>
    <w:rsid w:val="00A47501"/>
    <w:rsid w:val="00A5151A"/>
    <w:rsid w:val="00A53EAC"/>
    <w:rsid w:val="00A5482E"/>
    <w:rsid w:val="00A65F4F"/>
    <w:rsid w:val="00A70876"/>
    <w:rsid w:val="00A82F56"/>
    <w:rsid w:val="00AB0F4B"/>
    <w:rsid w:val="00AB6A0E"/>
    <w:rsid w:val="00AC42B2"/>
    <w:rsid w:val="00AD7665"/>
    <w:rsid w:val="00AE58E9"/>
    <w:rsid w:val="00B12D9B"/>
    <w:rsid w:val="00B1336A"/>
    <w:rsid w:val="00B2590E"/>
    <w:rsid w:val="00B30857"/>
    <w:rsid w:val="00B3542F"/>
    <w:rsid w:val="00B36D66"/>
    <w:rsid w:val="00B534AC"/>
    <w:rsid w:val="00B73D84"/>
    <w:rsid w:val="00B81DAC"/>
    <w:rsid w:val="00B92444"/>
    <w:rsid w:val="00B95794"/>
    <w:rsid w:val="00B96C0A"/>
    <w:rsid w:val="00B97B3A"/>
    <w:rsid w:val="00BB6E67"/>
    <w:rsid w:val="00BD099F"/>
    <w:rsid w:val="00BD522A"/>
    <w:rsid w:val="00BD5611"/>
    <w:rsid w:val="00C05C3F"/>
    <w:rsid w:val="00C24A26"/>
    <w:rsid w:val="00C4163C"/>
    <w:rsid w:val="00C46B7D"/>
    <w:rsid w:val="00C677A1"/>
    <w:rsid w:val="00C70665"/>
    <w:rsid w:val="00CB45B0"/>
    <w:rsid w:val="00CB4A1C"/>
    <w:rsid w:val="00CC2B24"/>
    <w:rsid w:val="00CC38C7"/>
    <w:rsid w:val="00CE3AD5"/>
    <w:rsid w:val="00D1355D"/>
    <w:rsid w:val="00D329F7"/>
    <w:rsid w:val="00D62B60"/>
    <w:rsid w:val="00D901EA"/>
    <w:rsid w:val="00D94378"/>
    <w:rsid w:val="00DA3540"/>
    <w:rsid w:val="00DB2104"/>
    <w:rsid w:val="00DC4533"/>
    <w:rsid w:val="00DD68B1"/>
    <w:rsid w:val="00DE3BBB"/>
    <w:rsid w:val="00DE4BC7"/>
    <w:rsid w:val="00E01078"/>
    <w:rsid w:val="00E0420E"/>
    <w:rsid w:val="00E128D9"/>
    <w:rsid w:val="00E15757"/>
    <w:rsid w:val="00E2168E"/>
    <w:rsid w:val="00E244F8"/>
    <w:rsid w:val="00E30854"/>
    <w:rsid w:val="00E36445"/>
    <w:rsid w:val="00E4318A"/>
    <w:rsid w:val="00E50DFB"/>
    <w:rsid w:val="00E542F2"/>
    <w:rsid w:val="00E6036A"/>
    <w:rsid w:val="00E76FDB"/>
    <w:rsid w:val="00EB0E29"/>
    <w:rsid w:val="00EB1113"/>
    <w:rsid w:val="00ED4734"/>
    <w:rsid w:val="00ED76C7"/>
    <w:rsid w:val="00EF1FC1"/>
    <w:rsid w:val="00EF7656"/>
    <w:rsid w:val="00F17C0B"/>
    <w:rsid w:val="00F21096"/>
    <w:rsid w:val="00F25006"/>
    <w:rsid w:val="00F25C32"/>
    <w:rsid w:val="00F26895"/>
    <w:rsid w:val="00F26BBD"/>
    <w:rsid w:val="00F31CD4"/>
    <w:rsid w:val="00F34D68"/>
    <w:rsid w:val="00F3759E"/>
    <w:rsid w:val="00F401A4"/>
    <w:rsid w:val="00F92AB1"/>
    <w:rsid w:val="00F95A64"/>
    <w:rsid w:val="00FD4336"/>
    <w:rsid w:val="00FD5ECE"/>
    <w:rsid w:val="00FF4712"/>
    <w:rsid w:val="00FF5257"/>
    <w:rsid w:val="08CA3E98"/>
    <w:rsid w:val="0CAC2796"/>
    <w:rsid w:val="117338C1"/>
    <w:rsid w:val="19DE75E0"/>
    <w:rsid w:val="2F1F45C8"/>
    <w:rsid w:val="34B535C2"/>
    <w:rsid w:val="376D5BC8"/>
    <w:rsid w:val="4F2C638B"/>
    <w:rsid w:val="50A973F5"/>
    <w:rsid w:val="51E74850"/>
    <w:rsid w:val="54C52F01"/>
    <w:rsid w:val="57CB39D1"/>
    <w:rsid w:val="58174FE4"/>
    <w:rsid w:val="660D34A7"/>
    <w:rsid w:val="70E24C2A"/>
    <w:rsid w:val="75184A87"/>
    <w:rsid w:val="7E563D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semiHidden="1"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82DAB"/>
    <w:pPr>
      <w:widowControl w:val="0"/>
      <w:jc w:val="both"/>
    </w:pPr>
    <w:rPr>
      <w:kern w:val="2"/>
      <w:sz w:val="21"/>
      <w:szCs w:val="24"/>
    </w:rPr>
  </w:style>
  <w:style w:type="paragraph" w:styleId="2">
    <w:name w:val="heading 2"/>
    <w:basedOn w:val="a"/>
    <w:next w:val="a"/>
    <w:link w:val="2Char"/>
    <w:semiHidden/>
    <w:unhideWhenUsed/>
    <w:qFormat/>
    <w:rsid w:val="00282DAB"/>
    <w:pPr>
      <w:keepNext/>
      <w:keepLines/>
      <w:spacing w:before="260" w:after="260" w:line="412" w:lineRule="auto"/>
      <w:outlineLvl w:val="1"/>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282DAB"/>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282DAB"/>
    <w:pPr>
      <w:ind w:firstLineChars="100" w:firstLine="420"/>
    </w:pPr>
    <w:rPr>
      <w:rFonts w:ascii="Calibri" w:hAnsi="Calibri"/>
      <w:szCs w:val="22"/>
    </w:rPr>
  </w:style>
  <w:style w:type="paragraph" w:styleId="a6">
    <w:name w:val="Body Text"/>
    <w:basedOn w:val="a"/>
    <w:qFormat/>
    <w:rsid w:val="00282DAB"/>
    <w:pPr>
      <w:spacing w:after="120"/>
    </w:pPr>
  </w:style>
  <w:style w:type="paragraph" w:styleId="a5">
    <w:name w:val="Balloon Text"/>
    <w:basedOn w:val="a"/>
    <w:semiHidden/>
    <w:qFormat/>
    <w:rsid w:val="00282DAB"/>
    <w:rPr>
      <w:sz w:val="18"/>
      <w:szCs w:val="18"/>
    </w:rPr>
  </w:style>
  <w:style w:type="paragraph" w:styleId="a7">
    <w:name w:val="footer"/>
    <w:basedOn w:val="a"/>
    <w:link w:val="Char"/>
    <w:qFormat/>
    <w:rsid w:val="00282DAB"/>
    <w:pPr>
      <w:tabs>
        <w:tab w:val="center" w:pos="4153"/>
        <w:tab w:val="right" w:pos="8306"/>
      </w:tabs>
      <w:snapToGrid w:val="0"/>
      <w:jc w:val="left"/>
    </w:pPr>
    <w:rPr>
      <w:sz w:val="18"/>
      <w:szCs w:val="18"/>
    </w:rPr>
  </w:style>
  <w:style w:type="paragraph" w:styleId="a8">
    <w:name w:val="header"/>
    <w:basedOn w:val="a"/>
    <w:link w:val="Char0"/>
    <w:qFormat/>
    <w:rsid w:val="00282DAB"/>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82DAB"/>
    <w:pPr>
      <w:widowControl/>
      <w:spacing w:before="100" w:beforeAutospacing="1" w:after="100" w:afterAutospacing="1"/>
      <w:jc w:val="left"/>
    </w:pPr>
    <w:rPr>
      <w:rFonts w:ascii="宋体" w:hAnsi="宋体" w:cs="宋体"/>
      <w:color w:val="000000"/>
      <w:kern w:val="0"/>
      <w:sz w:val="24"/>
    </w:rPr>
  </w:style>
  <w:style w:type="character" w:styleId="aa">
    <w:name w:val="Hyperlink"/>
    <w:qFormat/>
    <w:rsid w:val="00282DAB"/>
    <w:rPr>
      <w:color w:val="0000FF"/>
      <w:u w:val="single"/>
    </w:rPr>
  </w:style>
  <w:style w:type="paragraph" w:customStyle="1" w:styleId="Char1">
    <w:name w:val="Char"/>
    <w:basedOn w:val="a"/>
    <w:qFormat/>
    <w:rsid w:val="00282DAB"/>
    <w:rPr>
      <w:szCs w:val="20"/>
    </w:rPr>
  </w:style>
  <w:style w:type="character" w:customStyle="1" w:styleId="da">
    <w:name w:val="da"/>
    <w:basedOn w:val="a1"/>
    <w:qFormat/>
    <w:rsid w:val="00282DAB"/>
  </w:style>
  <w:style w:type="paragraph" w:customStyle="1" w:styleId="CharCharCharCharCharCharCharCharCharChar">
    <w:name w:val="Char Char Char Char Char Char Char Char Char Char"/>
    <w:basedOn w:val="a"/>
    <w:qFormat/>
    <w:rsid w:val="00282DAB"/>
    <w:rPr>
      <w:szCs w:val="20"/>
    </w:rPr>
  </w:style>
  <w:style w:type="character" w:customStyle="1" w:styleId="Char0">
    <w:name w:val="页眉 Char"/>
    <w:link w:val="a8"/>
    <w:qFormat/>
    <w:rsid w:val="00282DAB"/>
    <w:rPr>
      <w:kern w:val="2"/>
      <w:sz w:val="18"/>
      <w:szCs w:val="18"/>
    </w:rPr>
  </w:style>
  <w:style w:type="character" w:customStyle="1" w:styleId="Char">
    <w:name w:val="页脚 Char"/>
    <w:link w:val="a7"/>
    <w:qFormat/>
    <w:rsid w:val="00282DAB"/>
    <w:rPr>
      <w:kern w:val="2"/>
      <w:sz w:val="18"/>
      <w:szCs w:val="18"/>
    </w:rPr>
  </w:style>
  <w:style w:type="character" w:customStyle="1" w:styleId="2Char">
    <w:name w:val="标题 2 Char"/>
    <w:basedOn w:val="a1"/>
    <w:link w:val="2"/>
    <w:semiHidden/>
    <w:qFormat/>
    <w:rsid w:val="00282DAB"/>
    <w:rPr>
      <w:rFonts w:ascii="Arial" w:eastAsia="黑体" w:hAnsi="Arial" w:cs="Arial"/>
      <w:b/>
      <w:bCs/>
      <w:kern w:val="2"/>
      <w:sz w:val="28"/>
      <w:szCs w:val="28"/>
    </w:rPr>
  </w:style>
  <w:style w:type="paragraph" w:customStyle="1" w:styleId="Default">
    <w:name w:val="Default"/>
    <w:qFormat/>
    <w:rsid w:val="00282DAB"/>
    <w:pPr>
      <w:widowControl w:val="0"/>
      <w:autoSpaceDE w:val="0"/>
      <w:autoSpaceDN w:val="0"/>
      <w:adjustRightInd w:val="0"/>
    </w:pPr>
    <w:rPr>
      <w:rFonts w:ascii="华文仿宋" w:eastAsia="华文仿宋" w:cs="华文仿宋"/>
      <w:color w:val="000000"/>
      <w:sz w:val="24"/>
      <w:szCs w:val="24"/>
    </w:rPr>
  </w:style>
  <w:style w:type="character" w:customStyle="1" w:styleId="fontstyle01">
    <w:name w:val="fontstyle01"/>
    <w:basedOn w:val="a1"/>
    <w:qFormat/>
    <w:rsid w:val="00282DAB"/>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证券代码：000759       证券简称：武汉中百        公告编号：2010-20</dc:title>
  <dc:creator>MC SYSTEM</dc:creator>
  <cp:lastModifiedBy>Administrator</cp:lastModifiedBy>
  <cp:revision>66</cp:revision>
  <cp:lastPrinted>2018-03-26T02:27:00Z</cp:lastPrinted>
  <dcterms:created xsi:type="dcterms:W3CDTF">2017-04-20T01:49:00Z</dcterms:created>
  <dcterms:modified xsi:type="dcterms:W3CDTF">2022-03-24T09:42:00Z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