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5CA" w:rsidRDefault="00B92874">
      <w:pPr>
        <w:spacing w:before="300"/>
        <w:rPr>
          <w:rFonts w:asciiTheme="minorEastAsia" w:eastAsiaTheme="minorEastAsia" w:hAnsiTheme="minorEastAsia"/>
          <w:sz w:val="24"/>
          <w:szCs w:val="24"/>
        </w:rPr>
      </w:pPr>
      <w:r>
        <w:rPr>
          <w:rFonts w:asciiTheme="minorEastAsia" w:eastAsiaTheme="minorEastAsia" w:hAnsiTheme="minorEastAsia" w:hint="eastAsia"/>
          <w:sz w:val="24"/>
          <w:szCs w:val="24"/>
        </w:rPr>
        <w:t>证券代码：</w:t>
      </w:r>
      <w:r>
        <w:rPr>
          <w:rFonts w:asciiTheme="minorEastAsia" w:eastAsiaTheme="minorEastAsia" w:hAnsiTheme="minorEastAsia"/>
          <w:sz w:val="24"/>
          <w:szCs w:val="24"/>
        </w:rPr>
        <w:t xml:space="preserve">000759            </w:t>
      </w:r>
      <w:r>
        <w:rPr>
          <w:rFonts w:asciiTheme="minorEastAsia" w:eastAsiaTheme="minorEastAsia" w:hAnsiTheme="minorEastAsia" w:hint="eastAsia"/>
          <w:sz w:val="24"/>
          <w:szCs w:val="24"/>
        </w:rPr>
        <w:t>证券简称：中百集团</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公告编号：</w:t>
      </w:r>
      <w:r>
        <w:rPr>
          <w:rFonts w:asciiTheme="minorEastAsia" w:eastAsiaTheme="minorEastAsia" w:hAnsiTheme="minorEastAsia"/>
          <w:sz w:val="24"/>
          <w:szCs w:val="24"/>
        </w:rPr>
        <w:t>2022-00</w:t>
      </w:r>
      <w:r>
        <w:rPr>
          <w:rFonts w:asciiTheme="minorEastAsia" w:eastAsiaTheme="minorEastAsia" w:hAnsiTheme="minorEastAsia" w:hint="eastAsia"/>
          <w:sz w:val="24"/>
          <w:szCs w:val="24"/>
        </w:rPr>
        <w:t>7</w:t>
      </w:r>
    </w:p>
    <w:p w:rsidR="006645CA" w:rsidRDefault="00B92874">
      <w:pPr>
        <w:spacing w:before="200" w:after="200"/>
        <w:jc w:val="center"/>
        <w:rPr>
          <w:rFonts w:ascii="黑体" w:eastAsia="黑体" w:hAnsi="黑体"/>
          <w:bCs/>
          <w:sz w:val="36"/>
          <w:szCs w:val="36"/>
        </w:rPr>
      </w:pPr>
      <w:r>
        <w:rPr>
          <w:rFonts w:ascii="黑体" w:eastAsia="黑体" w:hAnsi="黑体" w:hint="eastAsia"/>
          <w:bCs/>
          <w:sz w:val="36"/>
          <w:szCs w:val="36"/>
        </w:rPr>
        <w:t>中百控股集团股份有限公司</w:t>
      </w:r>
      <w:r>
        <w:rPr>
          <w:rFonts w:ascii="黑体" w:eastAsia="黑体" w:hAnsi="黑体"/>
          <w:bCs/>
          <w:sz w:val="36"/>
          <w:szCs w:val="36"/>
        </w:rPr>
        <w:t>2021</w:t>
      </w:r>
      <w:r>
        <w:rPr>
          <w:rFonts w:ascii="黑体" w:eastAsia="黑体" w:hAnsi="黑体" w:hint="eastAsia"/>
          <w:bCs/>
          <w:sz w:val="36"/>
          <w:szCs w:val="36"/>
        </w:rPr>
        <w:t>年年度报告摘要</w:t>
      </w:r>
    </w:p>
    <w:p w:rsidR="006645CA" w:rsidRDefault="00B92874">
      <w:pPr>
        <w:pStyle w:val="Chapter"/>
        <w:keepNext w:val="0"/>
        <w:keepLines w:val="0"/>
        <w:adjustRightInd w:val="0"/>
        <w:snapToGrid w:val="0"/>
        <w:spacing w:after="0" w:line="240" w:lineRule="auto"/>
        <w:outlineLvl w:val="1"/>
        <w:rPr>
          <w:rFonts w:ascii="黑体" w:eastAsia="黑体" w:hAnsi="黑体"/>
          <w:b w:val="0"/>
        </w:rPr>
      </w:pPr>
      <w:r>
        <w:rPr>
          <w:rFonts w:ascii="黑体" w:eastAsia="黑体" w:hAnsi="黑体" w:hint="eastAsia"/>
          <w:b w:val="0"/>
        </w:rPr>
        <w:t>一、重要提示</w:t>
      </w:r>
    </w:p>
    <w:p w:rsidR="006645CA" w:rsidRDefault="00B92874">
      <w:pPr>
        <w:jc w:val="left"/>
        <w:rPr>
          <w:sz w:val="24"/>
          <w:szCs w:val="24"/>
        </w:rPr>
      </w:pPr>
      <w:r>
        <w:rPr>
          <w:rFonts w:hint="eastAsia"/>
          <w:sz w:val="24"/>
          <w:szCs w:val="24"/>
        </w:rPr>
        <w:t>本年度报告摘要来自年度报告全文，为全面了解本公司的经营成果、财务状况及未来发展规划，投资者应当到证监会指定媒体仔细阅读年度报告全文。</w:t>
      </w:r>
    </w:p>
    <w:p w:rsidR="006645CA" w:rsidRDefault="00B92874">
      <w:pPr>
        <w:spacing w:before="200" w:after="0"/>
        <w:jc w:val="left"/>
        <w:rPr>
          <w:sz w:val="24"/>
          <w:szCs w:val="24"/>
        </w:rPr>
      </w:pPr>
      <w:r>
        <w:rPr>
          <w:rFonts w:hint="eastAsia"/>
          <w:sz w:val="24"/>
          <w:szCs w:val="24"/>
        </w:rPr>
        <w:t>非标准审计意见提示</w:t>
      </w:r>
    </w:p>
    <w:p w:rsidR="006645CA" w:rsidRDefault="00B92874">
      <w:pPr>
        <w:jc w:val="left"/>
        <w:rPr>
          <w:sz w:val="24"/>
          <w:szCs w:val="24"/>
        </w:rPr>
      </w:pPr>
      <w:r>
        <w:rPr>
          <w:sz w:val="24"/>
          <w:szCs w:val="24"/>
        </w:rPr>
        <w:t xml:space="preserve">□ </w:t>
      </w:r>
      <w:r>
        <w:rPr>
          <w:rFonts w:hint="eastAsia"/>
          <w:sz w:val="24"/>
          <w:szCs w:val="24"/>
        </w:rPr>
        <w:t>适用</w:t>
      </w:r>
      <w:r>
        <w:rPr>
          <w:sz w:val="24"/>
          <w:szCs w:val="24"/>
        </w:rPr>
        <w:t xml:space="preserve"> √ </w:t>
      </w:r>
      <w:r>
        <w:rPr>
          <w:rFonts w:hint="eastAsia"/>
          <w:sz w:val="24"/>
          <w:szCs w:val="24"/>
        </w:rPr>
        <w:t>不适用</w:t>
      </w:r>
      <w:r>
        <w:rPr>
          <w:sz w:val="24"/>
          <w:szCs w:val="24"/>
        </w:rPr>
        <w:t xml:space="preserve"> </w:t>
      </w:r>
    </w:p>
    <w:p w:rsidR="006645CA" w:rsidRDefault="00B92874">
      <w:pPr>
        <w:spacing w:before="200" w:after="0"/>
        <w:jc w:val="left"/>
        <w:rPr>
          <w:sz w:val="24"/>
          <w:szCs w:val="24"/>
        </w:rPr>
      </w:pPr>
      <w:r>
        <w:rPr>
          <w:rFonts w:hint="eastAsia"/>
          <w:sz w:val="24"/>
          <w:szCs w:val="24"/>
        </w:rPr>
        <w:t>董事会审议的报告期普通股利润分配预案或公积金转增股本预案</w:t>
      </w:r>
    </w:p>
    <w:p w:rsidR="006645CA" w:rsidRDefault="00B92874">
      <w:pPr>
        <w:jc w:val="left"/>
        <w:rPr>
          <w:sz w:val="24"/>
          <w:szCs w:val="24"/>
        </w:rPr>
      </w:pPr>
      <w:r>
        <w:rPr>
          <w:sz w:val="24"/>
          <w:szCs w:val="24"/>
        </w:rPr>
        <w:t xml:space="preserve">□ </w:t>
      </w:r>
      <w:r>
        <w:rPr>
          <w:rFonts w:hint="eastAsia"/>
          <w:sz w:val="24"/>
          <w:szCs w:val="24"/>
        </w:rPr>
        <w:t>适用</w:t>
      </w:r>
      <w:r>
        <w:rPr>
          <w:sz w:val="24"/>
          <w:szCs w:val="24"/>
        </w:rPr>
        <w:t xml:space="preserve"> √ </w:t>
      </w:r>
      <w:r>
        <w:rPr>
          <w:rFonts w:hint="eastAsia"/>
          <w:sz w:val="24"/>
          <w:szCs w:val="24"/>
        </w:rPr>
        <w:t>不适用</w:t>
      </w:r>
    </w:p>
    <w:p w:rsidR="006645CA" w:rsidRDefault="00B92874">
      <w:pPr>
        <w:jc w:val="left"/>
        <w:rPr>
          <w:sz w:val="24"/>
          <w:szCs w:val="24"/>
        </w:rPr>
      </w:pPr>
      <w:r>
        <w:rPr>
          <w:rFonts w:hint="eastAsia"/>
          <w:sz w:val="24"/>
          <w:szCs w:val="24"/>
        </w:rPr>
        <w:t>公司计划</w:t>
      </w:r>
      <w:r>
        <w:rPr>
          <w:rFonts w:ascii="宋体" w:hAnsi="宋体" w:hint="eastAsia"/>
          <w:sz w:val="24"/>
          <w:szCs w:val="24"/>
        </w:rPr>
        <w:t>不派发现金红利，不送红股，不以公积金转增股本。</w:t>
      </w:r>
    </w:p>
    <w:p w:rsidR="006645CA" w:rsidRDefault="00B92874">
      <w:pPr>
        <w:spacing w:before="200" w:after="0"/>
        <w:jc w:val="left"/>
        <w:rPr>
          <w:sz w:val="24"/>
          <w:szCs w:val="24"/>
        </w:rPr>
      </w:pPr>
      <w:r>
        <w:rPr>
          <w:rFonts w:hint="eastAsia"/>
          <w:sz w:val="24"/>
          <w:szCs w:val="24"/>
        </w:rPr>
        <w:t>董事会决议通过的本报告期优先股利润分配预案</w:t>
      </w:r>
    </w:p>
    <w:p w:rsidR="006645CA" w:rsidRDefault="00B92874">
      <w:pPr>
        <w:jc w:val="left"/>
        <w:rPr>
          <w:sz w:val="24"/>
          <w:szCs w:val="24"/>
        </w:rPr>
      </w:pPr>
      <w:r>
        <w:rPr>
          <w:sz w:val="24"/>
          <w:szCs w:val="24"/>
        </w:rPr>
        <w:t xml:space="preserve">□ </w:t>
      </w:r>
      <w:r>
        <w:rPr>
          <w:rFonts w:hint="eastAsia"/>
          <w:sz w:val="24"/>
          <w:szCs w:val="24"/>
        </w:rPr>
        <w:t>适用</w:t>
      </w:r>
      <w:r>
        <w:rPr>
          <w:sz w:val="24"/>
          <w:szCs w:val="24"/>
        </w:rPr>
        <w:t xml:space="preserve"> √ </w:t>
      </w:r>
      <w:r>
        <w:rPr>
          <w:rFonts w:hint="eastAsia"/>
          <w:sz w:val="24"/>
          <w:szCs w:val="24"/>
        </w:rPr>
        <w:t>不适用</w:t>
      </w:r>
      <w:r>
        <w:rPr>
          <w:sz w:val="24"/>
          <w:szCs w:val="24"/>
        </w:rPr>
        <w:t xml:space="preserve"> </w:t>
      </w:r>
    </w:p>
    <w:p w:rsidR="006645CA" w:rsidRDefault="00B92874">
      <w:pPr>
        <w:pStyle w:val="Chapter"/>
        <w:keepNext w:val="0"/>
        <w:keepLines w:val="0"/>
        <w:adjustRightInd w:val="0"/>
        <w:snapToGrid w:val="0"/>
        <w:spacing w:after="0" w:line="240" w:lineRule="auto"/>
        <w:outlineLvl w:val="1"/>
        <w:rPr>
          <w:rFonts w:ascii="黑体" w:eastAsia="黑体" w:hAnsi="黑体"/>
          <w:b w:val="0"/>
        </w:rPr>
      </w:pPr>
      <w:r>
        <w:rPr>
          <w:rFonts w:ascii="黑体" w:eastAsia="黑体" w:hAnsi="黑体" w:hint="eastAsia"/>
          <w:b w:val="0"/>
        </w:rPr>
        <w:t>二、公司基本情况</w:t>
      </w:r>
    </w:p>
    <w:p w:rsidR="006645CA" w:rsidRDefault="00B92874">
      <w:pPr>
        <w:pStyle w:val="Section"/>
        <w:keepNext w:val="0"/>
        <w:keepLines w:val="0"/>
        <w:spacing w:before="200" w:after="0" w:line="240" w:lineRule="auto"/>
        <w:outlineLvl w:val="2"/>
        <w:rPr>
          <w:b w:val="0"/>
          <w:sz w:val="24"/>
          <w:szCs w:val="24"/>
        </w:rPr>
      </w:pPr>
      <w:r>
        <w:rPr>
          <w:b w:val="0"/>
          <w:sz w:val="24"/>
          <w:szCs w:val="24"/>
        </w:rPr>
        <w:t>1</w:t>
      </w:r>
      <w:r>
        <w:rPr>
          <w:rFonts w:hint="eastAsia"/>
          <w:b w:val="0"/>
          <w:sz w:val="24"/>
          <w:szCs w:val="24"/>
        </w:rPr>
        <w:t>.</w:t>
      </w:r>
      <w:r>
        <w:rPr>
          <w:rFonts w:hint="eastAsia"/>
          <w:b w:val="0"/>
          <w:sz w:val="24"/>
          <w:szCs w:val="24"/>
        </w:rPr>
        <w:t>公司简介</w:t>
      </w:r>
    </w:p>
    <w:tbl>
      <w:tblPr>
        <w:tblW w:w="9567" w:type="dxa"/>
        <w:tblInd w:w="28" w:type="dxa"/>
        <w:tblLayout w:type="fixed"/>
        <w:tblCellMar>
          <w:left w:w="28" w:type="dxa"/>
          <w:right w:w="28" w:type="dxa"/>
        </w:tblCellMar>
        <w:tblLook w:val="04A0"/>
      </w:tblPr>
      <w:tblGrid>
        <w:gridCol w:w="2896"/>
        <w:gridCol w:w="2195"/>
        <w:gridCol w:w="1135"/>
        <w:gridCol w:w="1042"/>
        <w:gridCol w:w="2299"/>
      </w:tblGrid>
      <w:tr w:rsidR="006645CA">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股票简称</w:t>
            </w:r>
          </w:p>
        </w:tc>
        <w:tc>
          <w:tcPr>
            <w:tcW w:w="2195" w:type="dxa"/>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中百集团</w:t>
            </w:r>
          </w:p>
        </w:tc>
        <w:tc>
          <w:tcPr>
            <w:tcW w:w="217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股票代码</w:t>
            </w:r>
          </w:p>
        </w:tc>
        <w:tc>
          <w:tcPr>
            <w:tcW w:w="2299" w:type="dxa"/>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sz w:val="21"/>
                <w:szCs w:val="21"/>
              </w:rPr>
              <w:t>000759</w:t>
            </w:r>
          </w:p>
        </w:tc>
      </w:tr>
      <w:tr w:rsidR="006645CA">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股票上市交易所</w:t>
            </w:r>
          </w:p>
        </w:tc>
        <w:tc>
          <w:tcPr>
            <w:tcW w:w="6671" w:type="dxa"/>
            <w:gridSpan w:val="4"/>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深圳证券交易所</w:t>
            </w:r>
          </w:p>
        </w:tc>
      </w:tr>
      <w:tr w:rsidR="006645CA">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联系人和联系方式</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董事会秘书</w:t>
            </w:r>
          </w:p>
        </w:tc>
        <w:tc>
          <w:tcPr>
            <w:tcW w:w="334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证券事务代表</w:t>
            </w:r>
          </w:p>
        </w:tc>
      </w:tr>
      <w:tr w:rsidR="006645CA">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姓名</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color w:val="000000" w:themeColor="text1"/>
                <w:sz w:val="21"/>
                <w:szCs w:val="21"/>
              </w:rPr>
              <w:t>万慧岚</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张国强</w:t>
            </w:r>
          </w:p>
        </w:tc>
      </w:tr>
      <w:tr w:rsidR="006645CA">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办公地址</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color w:val="000000" w:themeColor="text1"/>
                <w:sz w:val="21"/>
                <w:szCs w:val="21"/>
              </w:rPr>
              <w:t>湖北省武汉市江汉区唐家墩路</w:t>
            </w:r>
            <w:r>
              <w:rPr>
                <w:color w:val="000000" w:themeColor="text1"/>
                <w:sz w:val="21"/>
                <w:szCs w:val="21"/>
              </w:rPr>
              <w:t xml:space="preserve"> 32 </w:t>
            </w:r>
            <w:r>
              <w:rPr>
                <w:color w:val="000000" w:themeColor="text1"/>
                <w:sz w:val="21"/>
                <w:szCs w:val="21"/>
              </w:rPr>
              <w:t>号国创大厦</w:t>
            </w:r>
            <w:r>
              <w:rPr>
                <w:color w:val="000000" w:themeColor="text1"/>
                <w:sz w:val="21"/>
                <w:szCs w:val="21"/>
              </w:rPr>
              <w:t xml:space="preserve"> A </w:t>
            </w:r>
            <w:r>
              <w:rPr>
                <w:color w:val="000000" w:themeColor="text1"/>
                <w:sz w:val="21"/>
                <w:szCs w:val="21"/>
              </w:rPr>
              <w:t>座</w:t>
            </w:r>
            <w:r>
              <w:rPr>
                <w:color w:val="000000" w:themeColor="text1"/>
                <w:sz w:val="21"/>
                <w:szCs w:val="21"/>
              </w:rPr>
              <w:t xml:space="preserve"> 17 </w:t>
            </w:r>
            <w:r>
              <w:rPr>
                <w:color w:val="000000" w:themeColor="text1"/>
                <w:sz w:val="21"/>
                <w:szCs w:val="21"/>
              </w:rPr>
              <w:t>楼</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湖北省武汉市江汉区唐家墩路</w:t>
            </w:r>
            <w:r>
              <w:rPr>
                <w:sz w:val="21"/>
                <w:szCs w:val="21"/>
              </w:rPr>
              <w:t xml:space="preserve"> 32 </w:t>
            </w:r>
            <w:r>
              <w:rPr>
                <w:rFonts w:hint="eastAsia"/>
                <w:sz w:val="21"/>
                <w:szCs w:val="21"/>
              </w:rPr>
              <w:t>号国创大厦</w:t>
            </w:r>
            <w:r>
              <w:rPr>
                <w:sz w:val="21"/>
                <w:szCs w:val="21"/>
              </w:rPr>
              <w:t xml:space="preserve"> A </w:t>
            </w:r>
            <w:r>
              <w:rPr>
                <w:rFonts w:hint="eastAsia"/>
                <w:sz w:val="21"/>
                <w:szCs w:val="21"/>
              </w:rPr>
              <w:t>座</w:t>
            </w:r>
            <w:r>
              <w:rPr>
                <w:sz w:val="21"/>
                <w:szCs w:val="21"/>
              </w:rPr>
              <w:t xml:space="preserve"> 17 </w:t>
            </w:r>
            <w:r>
              <w:rPr>
                <w:rFonts w:hint="eastAsia"/>
                <w:sz w:val="21"/>
                <w:szCs w:val="21"/>
              </w:rPr>
              <w:t>楼</w:t>
            </w:r>
          </w:p>
        </w:tc>
      </w:tr>
      <w:tr w:rsidR="006645CA">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传真</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color w:val="000000" w:themeColor="text1"/>
                <w:sz w:val="21"/>
                <w:szCs w:val="21"/>
              </w:rPr>
              <w:t>027-82833891</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sz w:val="21"/>
                <w:szCs w:val="21"/>
              </w:rPr>
              <w:t>027-82832006</w:t>
            </w:r>
          </w:p>
        </w:tc>
      </w:tr>
      <w:tr w:rsidR="006645CA">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电话</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color w:val="000000" w:themeColor="text1"/>
                <w:sz w:val="21"/>
                <w:szCs w:val="21"/>
              </w:rPr>
              <w:t>027-82832006</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sz w:val="21"/>
                <w:szCs w:val="21"/>
              </w:rPr>
              <w:t>027-82832006</w:t>
            </w:r>
          </w:p>
        </w:tc>
      </w:tr>
      <w:tr w:rsidR="00C408D7">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C408D7" w:rsidRDefault="00C408D7">
            <w:pPr>
              <w:jc w:val="left"/>
              <w:rPr>
                <w:sz w:val="21"/>
                <w:szCs w:val="21"/>
              </w:rPr>
            </w:pPr>
            <w:r>
              <w:rPr>
                <w:rFonts w:hint="eastAsia"/>
                <w:sz w:val="21"/>
                <w:szCs w:val="21"/>
              </w:rPr>
              <w:t>电子信箱</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C408D7" w:rsidRDefault="00C408D7" w:rsidP="00846849">
            <w:pPr>
              <w:jc w:val="left"/>
              <w:rPr>
                <w:color w:val="000000" w:themeColor="text1"/>
                <w:sz w:val="21"/>
                <w:szCs w:val="21"/>
              </w:rPr>
            </w:pPr>
            <w:r w:rsidRPr="00E34CD2">
              <w:rPr>
                <w:color w:val="000000" w:themeColor="text1"/>
                <w:sz w:val="21"/>
                <w:szCs w:val="21"/>
              </w:rPr>
              <w:t>whl@whzb.com</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C408D7" w:rsidRDefault="00C408D7" w:rsidP="00846849">
            <w:pPr>
              <w:jc w:val="left"/>
              <w:rPr>
                <w:color w:val="000000" w:themeColor="text1"/>
                <w:sz w:val="21"/>
                <w:szCs w:val="21"/>
              </w:rPr>
            </w:pPr>
            <w:r>
              <w:rPr>
                <w:rFonts w:hint="eastAsia"/>
                <w:color w:val="000000" w:themeColor="text1"/>
                <w:sz w:val="21"/>
                <w:szCs w:val="21"/>
              </w:rPr>
              <w:t>zbjtzqb@whzb.com</w:t>
            </w:r>
          </w:p>
        </w:tc>
      </w:tr>
    </w:tbl>
    <w:p w:rsidR="006645CA" w:rsidRDefault="00B92874">
      <w:pPr>
        <w:pStyle w:val="Section"/>
        <w:keepNext w:val="0"/>
        <w:keepLines w:val="0"/>
        <w:spacing w:before="200" w:after="0" w:line="240" w:lineRule="auto"/>
        <w:outlineLvl w:val="2"/>
        <w:rPr>
          <w:b w:val="0"/>
          <w:sz w:val="24"/>
          <w:szCs w:val="24"/>
        </w:rPr>
      </w:pPr>
      <w:r>
        <w:rPr>
          <w:b w:val="0"/>
          <w:sz w:val="24"/>
          <w:szCs w:val="24"/>
        </w:rPr>
        <w:t>2</w:t>
      </w:r>
      <w:r>
        <w:rPr>
          <w:rFonts w:hint="eastAsia"/>
          <w:b w:val="0"/>
          <w:sz w:val="24"/>
          <w:szCs w:val="24"/>
        </w:rPr>
        <w:t>.</w:t>
      </w:r>
      <w:r>
        <w:rPr>
          <w:rFonts w:hint="eastAsia"/>
          <w:b w:val="0"/>
          <w:sz w:val="24"/>
          <w:szCs w:val="24"/>
        </w:rPr>
        <w:t>报告期主要业务简介</w:t>
      </w:r>
    </w:p>
    <w:p w:rsidR="006645CA" w:rsidRDefault="00B92874">
      <w:pPr>
        <w:autoSpaceDE w:val="0"/>
        <w:autoSpaceDN w:val="0"/>
        <w:adjustRightInd w:val="0"/>
        <w:spacing w:before="0" w:after="0" w:line="400" w:lineRule="exact"/>
        <w:ind w:firstLine="482"/>
        <w:jc w:val="left"/>
        <w:rPr>
          <w:rFonts w:eastAsia="Times New Roman"/>
          <w:kern w:val="0"/>
          <w:sz w:val="24"/>
          <w:szCs w:val="24"/>
          <w:lang w:val="zh-CN"/>
        </w:rPr>
      </w:pPr>
      <w:r>
        <w:rPr>
          <w:rFonts w:ascii="宋体" w:hAnsi="宋体" w:cs="宋体" w:hint="eastAsia"/>
          <w:kern w:val="0"/>
          <w:sz w:val="24"/>
          <w:szCs w:val="24"/>
          <w:lang w:val="zh-CN"/>
        </w:rPr>
        <w:t>（</w:t>
      </w:r>
      <w:r>
        <w:rPr>
          <w:rFonts w:ascii="宋体" w:hAnsi="宋体" w:cs="宋体"/>
          <w:kern w:val="0"/>
          <w:sz w:val="24"/>
          <w:szCs w:val="24"/>
          <w:lang w:val="zh-CN"/>
        </w:rPr>
        <w:t>1</w:t>
      </w:r>
      <w:r>
        <w:rPr>
          <w:rFonts w:ascii="宋体" w:hAnsi="宋体" w:cs="宋体" w:hint="eastAsia"/>
          <w:kern w:val="0"/>
          <w:sz w:val="24"/>
          <w:szCs w:val="24"/>
          <w:lang w:val="zh-CN"/>
        </w:rPr>
        <w:t>）公司的主要业务</w:t>
      </w:r>
    </w:p>
    <w:p w:rsidR="006645CA" w:rsidRDefault="00B92874">
      <w:pPr>
        <w:autoSpaceDE w:val="0"/>
        <w:autoSpaceDN w:val="0"/>
        <w:adjustRightInd w:val="0"/>
        <w:spacing w:before="0" w:after="0" w:line="400" w:lineRule="exact"/>
        <w:ind w:firstLine="482"/>
        <w:rPr>
          <w:rFonts w:eastAsia="Times New Roman"/>
          <w:kern w:val="0"/>
          <w:sz w:val="24"/>
          <w:szCs w:val="24"/>
          <w:lang w:val="zh-CN"/>
        </w:rPr>
      </w:pPr>
      <w:r>
        <w:rPr>
          <w:rFonts w:ascii="宋体" w:hAnsi="宋体" w:cs="宋体" w:hint="eastAsia"/>
          <w:kern w:val="0"/>
          <w:sz w:val="24"/>
          <w:szCs w:val="24"/>
          <w:lang w:val="zh-CN"/>
        </w:rPr>
        <w:t>公司是以商业零售为主业的大型连锁企业，公司拥有综合超市、社区超市、</w:t>
      </w:r>
      <w:r>
        <w:rPr>
          <w:rFonts w:eastAsia="Times New Roman"/>
          <w:kern w:val="0"/>
          <w:sz w:val="24"/>
          <w:szCs w:val="24"/>
          <w:lang w:val="zh-CN"/>
        </w:rPr>
        <w:t>24H</w:t>
      </w:r>
      <w:r>
        <w:rPr>
          <w:rFonts w:ascii="宋体" w:hAnsi="宋体" w:cs="宋体" w:hint="eastAsia"/>
          <w:kern w:val="0"/>
          <w:sz w:val="24"/>
          <w:szCs w:val="24"/>
          <w:lang w:val="zh-CN"/>
        </w:rPr>
        <w:t>便利店、购物中心、电器专卖、智慧物流、食品工厂、零售科技、塑料制品生产等多种业态。公司网点数量和经营规模位居湖北市场企业前列，形成以商业零售为主，以数智科技、物流配送、食品加工、环保包装为后台保障支撑的现代化商业生态体系。</w:t>
      </w:r>
    </w:p>
    <w:p w:rsidR="006645CA" w:rsidRDefault="00B92874">
      <w:pPr>
        <w:autoSpaceDE w:val="0"/>
        <w:autoSpaceDN w:val="0"/>
        <w:adjustRightInd w:val="0"/>
        <w:spacing w:before="0" w:after="0" w:line="400" w:lineRule="exact"/>
        <w:ind w:firstLine="482"/>
        <w:jc w:val="left"/>
        <w:rPr>
          <w:rFonts w:ascii="宋体" w:cs="宋体"/>
          <w:kern w:val="0"/>
          <w:sz w:val="24"/>
          <w:szCs w:val="24"/>
          <w:lang w:val="zh-CN"/>
        </w:rPr>
      </w:pPr>
      <w:r>
        <w:rPr>
          <w:rFonts w:ascii="宋体" w:hAnsi="宋体" w:cs="宋体" w:hint="eastAsia"/>
          <w:kern w:val="0"/>
          <w:sz w:val="24"/>
          <w:szCs w:val="24"/>
          <w:lang w:val="zh-CN"/>
        </w:rPr>
        <w:t>（</w:t>
      </w:r>
      <w:r>
        <w:rPr>
          <w:rFonts w:ascii="宋体" w:hAnsi="宋体" w:cs="宋体"/>
          <w:kern w:val="0"/>
          <w:sz w:val="24"/>
          <w:szCs w:val="24"/>
          <w:lang w:val="zh-CN"/>
        </w:rPr>
        <w:t>2</w:t>
      </w:r>
      <w:r>
        <w:rPr>
          <w:rFonts w:ascii="宋体" w:hAnsi="宋体" w:cs="宋体" w:hint="eastAsia"/>
          <w:kern w:val="0"/>
          <w:sz w:val="24"/>
          <w:szCs w:val="24"/>
          <w:lang w:val="zh-CN"/>
        </w:rPr>
        <w:t>）行业发展情况</w:t>
      </w:r>
    </w:p>
    <w:p w:rsidR="006645CA" w:rsidRDefault="00B92874">
      <w:pPr>
        <w:autoSpaceDE w:val="0"/>
        <w:autoSpaceDN w:val="0"/>
        <w:adjustRightInd w:val="0"/>
        <w:spacing w:before="0" w:after="0" w:line="400" w:lineRule="exact"/>
        <w:ind w:firstLine="482"/>
        <w:rPr>
          <w:rFonts w:eastAsia="Times New Roman"/>
          <w:kern w:val="0"/>
          <w:sz w:val="24"/>
          <w:szCs w:val="24"/>
          <w:lang w:val="zh-CN"/>
        </w:rPr>
      </w:pPr>
      <w:r>
        <w:rPr>
          <w:rFonts w:eastAsia="Times New Roman"/>
          <w:kern w:val="0"/>
          <w:sz w:val="24"/>
          <w:szCs w:val="24"/>
          <w:lang w:val="zh-CN"/>
        </w:rPr>
        <w:t>2021</w:t>
      </w:r>
      <w:r>
        <w:rPr>
          <w:rFonts w:ascii="宋体" w:hAnsi="宋体" w:cs="宋体" w:hint="eastAsia"/>
          <w:kern w:val="0"/>
          <w:sz w:val="24"/>
          <w:szCs w:val="24"/>
          <w:lang w:val="zh-CN"/>
        </w:rPr>
        <w:t>年，社会消费品零售总额</w:t>
      </w:r>
      <w:r>
        <w:rPr>
          <w:rFonts w:eastAsia="Times New Roman"/>
          <w:kern w:val="0"/>
          <w:sz w:val="24"/>
          <w:szCs w:val="24"/>
          <w:lang w:val="zh-CN"/>
        </w:rPr>
        <w:t>440823</w:t>
      </w:r>
      <w:r>
        <w:rPr>
          <w:rFonts w:ascii="宋体" w:hAnsi="宋体" w:cs="宋体" w:hint="eastAsia"/>
          <w:kern w:val="0"/>
          <w:sz w:val="24"/>
          <w:szCs w:val="24"/>
          <w:lang w:val="zh-CN"/>
        </w:rPr>
        <w:t>亿元，比上年增长</w:t>
      </w:r>
      <w:r>
        <w:rPr>
          <w:rFonts w:eastAsia="Times New Roman"/>
          <w:kern w:val="0"/>
          <w:sz w:val="24"/>
          <w:szCs w:val="24"/>
          <w:lang w:val="zh-CN"/>
        </w:rPr>
        <w:t>12.5%</w:t>
      </w:r>
      <w:r>
        <w:rPr>
          <w:rFonts w:ascii="宋体" w:hAnsi="宋体" w:cs="宋体" w:hint="eastAsia"/>
          <w:kern w:val="0"/>
          <w:sz w:val="24"/>
          <w:szCs w:val="24"/>
          <w:lang w:val="zh-CN"/>
        </w:rPr>
        <w:t>，两年平均增速为</w:t>
      </w:r>
      <w:r>
        <w:rPr>
          <w:rFonts w:eastAsia="Times New Roman"/>
          <w:kern w:val="0"/>
          <w:sz w:val="24"/>
          <w:szCs w:val="24"/>
          <w:lang w:val="zh-CN"/>
        </w:rPr>
        <w:t>3.9%</w:t>
      </w:r>
      <w:r>
        <w:rPr>
          <w:rFonts w:ascii="宋体" w:hAnsi="宋体" w:cs="宋体" w:hint="eastAsia"/>
          <w:kern w:val="0"/>
          <w:sz w:val="24"/>
          <w:szCs w:val="24"/>
          <w:lang w:val="zh-CN"/>
        </w:rPr>
        <w:t>；全国网上零售额</w:t>
      </w:r>
      <w:r>
        <w:rPr>
          <w:rFonts w:eastAsia="Times New Roman"/>
          <w:kern w:val="0"/>
          <w:sz w:val="24"/>
          <w:szCs w:val="24"/>
          <w:lang w:val="zh-CN"/>
        </w:rPr>
        <w:t>130884</w:t>
      </w:r>
      <w:r>
        <w:rPr>
          <w:rFonts w:ascii="宋体" w:hAnsi="宋体" w:cs="宋体" w:hint="eastAsia"/>
          <w:kern w:val="0"/>
          <w:sz w:val="24"/>
          <w:szCs w:val="24"/>
          <w:lang w:val="zh-CN"/>
        </w:rPr>
        <w:t>亿元，比上年增长</w:t>
      </w:r>
      <w:r>
        <w:rPr>
          <w:rFonts w:eastAsia="Times New Roman"/>
          <w:kern w:val="0"/>
          <w:sz w:val="24"/>
          <w:szCs w:val="24"/>
          <w:lang w:val="zh-CN"/>
        </w:rPr>
        <w:t>14.1%</w:t>
      </w:r>
      <w:r>
        <w:rPr>
          <w:rFonts w:ascii="宋体" w:hAnsi="宋体" w:cs="宋体" w:hint="eastAsia"/>
          <w:kern w:val="0"/>
          <w:sz w:val="24"/>
          <w:szCs w:val="24"/>
          <w:lang w:val="zh-CN"/>
        </w:rPr>
        <w:t>。按零售业态分，</w:t>
      </w:r>
      <w:r>
        <w:rPr>
          <w:rFonts w:eastAsia="Times New Roman"/>
          <w:kern w:val="0"/>
          <w:sz w:val="24"/>
          <w:szCs w:val="24"/>
          <w:lang w:val="zh-CN"/>
        </w:rPr>
        <w:t>2021</w:t>
      </w:r>
      <w:r>
        <w:rPr>
          <w:rFonts w:ascii="宋体" w:hAnsi="宋体" w:cs="宋体" w:hint="eastAsia"/>
          <w:kern w:val="0"/>
          <w:sz w:val="24"/>
          <w:szCs w:val="24"/>
          <w:lang w:val="zh-CN"/>
        </w:rPr>
        <w:t>年限额以上零售业单位中的超市、便利店、百货店、专业店和专卖店零售额比上年分别增长</w:t>
      </w:r>
      <w:r>
        <w:rPr>
          <w:rFonts w:eastAsia="Times New Roman"/>
          <w:kern w:val="0"/>
          <w:sz w:val="24"/>
          <w:szCs w:val="24"/>
          <w:lang w:val="zh-CN"/>
        </w:rPr>
        <w:t>6.0%</w:t>
      </w:r>
      <w:r>
        <w:rPr>
          <w:rFonts w:ascii="宋体" w:hAnsi="宋体" w:cs="宋体" w:hint="eastAsia"/>
          <w:kern w:val="0"/>
          <w:sz w:val="24"/>
          <w:szCs w:val="24"/>
          <w:lang w:val="zh-CN"/>
        </w:rPr>
        <w:t>、</w:t>
      </w:r>
      <w:r>
        <w:rPr>
          <w:rFonts w:eastAsia="Times New Roman"/>
          <w:kern w:val="0"/>
          <w:sz w:val="24"/>
          <w:szCs w:val="24"/>
          <w:lang w:val="zh-CN"/>
        </w:rPr>
        <w:t>16.9%</w:t>
      </w:r>
      <w:r>
        <w:rPr>
          <w:rFonts w:ascii="宋体" w:hAnsi="宋体" w:cs="宋体" w:hint="eastAsia"/>
          <w:kern w:val="0"/>
          <w:sz w:val="24"/>
          <w:szCs w:val="24"/>
          <w:lang w:val="zh-CN"/>
        </w:rPr>
        <w:t>、</w:t>
      </w:r>
      <w:r>
        <w:rPr>
          <w:rFonts w:eastAsia="Times New Roman"/>
          <w:kern w:val="0"/>
          <w:sz w:val="24"/>
          <w:szCs w:val="24"/>
          <w:lang w:val="zh-CN"/>
        </w:rPr>
        <w:t>11.7%</w:t>
      </w:r>
      <w:r>
        <w:rPr>
          <w:rFonts w:ascii="宋体" w:hAnsi="宋体" w:cs="宋体" w:hint="eastAsia"/>
          <w:kern w:val="0"/>
          <w:sz w:val="24"/>
          <w:szCs w:val="24"/>
          <w:lang w:val="zh-CN"/>
        </w:rPr>
        <w:t>、</w:t>
      </w:r>
      <w:r>
        <w:rPr>
          <w:rFonts w:eastAsia="Times New Roman"/>
          <w:kern w:val="0"/>
          <w:sz w:val="24"/>
          <w:szCs w:val="24"/>
          <w:lang w:val="zh-CN"/>
        </w:rPr>
        <w:lastRenderedPageBreak/>
        <w:t>12.8%</w:t>
      </w:r>
      <w:r>
        <w:rPr>
          <w:rFonts w:ascii="宋体" w:hAnsi="宋体" w:cs="宋体" w:hint="eastAsia"/>
          <w:kern w:val="0"/>
          <w:sz w:val="24"/>
          <w:szCs w:val="24"/>
          <w:lang w:val="zh-CN"/>
        </w:rPr>
        <w:t>和</w:t>
      </w:r>
      <w:r>
        <w:rPr>
          <w:rFonts w:eastAsia="Times New Roman"/>
          <w:kern w:val="0"/>
          <w:sz w:val="24"/>
          <w:szCs w:val="24"/>
          <w:lang w:val="zh-CN"/>
        </w:rPr>
        <w:t>12.0%</w:t>
      </w:r>
      <w:r>
        <w:rPr>
          <w:rFonts w:ascii="宋体" w:hAnsi="宋体" w:cs="宋体" w:hint="eastAsia"/>
          <w:kern w:val="0"/>
          <w:sz w:val="24"/>
          <w:szCs w:val="24"/>
          <w:lang w:val="zh-CN"/>
        </w:rPr>
        <w:t>。</w:t>
      </w:r>
    </w:p>
    <w:p w:rsidR="006645CA" w:rsidRDefault="00B92874">
      <w:pPr>
        <w:autoSpaceDE w:val="0"/>
        <w:autoSpaceDN w:val="0"/>
        <w:adjustRightInd w:val="0"/>
        <w:spacing w:before="0" w:after="0" w:line="400" w:lineRule="exact"/>
        <w:ind w:firstLine="482"/>
        <w:rPr>
          <w:rFonts w:eastAsia="Times New Roman"/>
          <w:kern w:val="0"/>
          <w:sz w:val="24"/>
          <w:szCs w:val="24"/>
          <w:lang w:val="zh-CN"/>
        </w:rPr>
      </w:pPr>
      <w:r>
        <w:rPr>
          <w:rFonts w:ascii="宋体" w:hAnsi="宋体" w:cs="宋体" w:hint="eastAsia"/>
          <w:kern w:val="0"/>
          <w:sz w:val="24"/>
          <w:szCs w:val="24"/>
          <w:lang w:val="zh-CN"/>
        </w:rPr>
        <w:t>报告期内，国内疫情多点散发，对消费市场产生一定冲击，再加上国内外零售企业积极推进网点布局，电商持续快速的发展，传统超市企业正在面临极大的挑战。受到</w:t>
      </w:r>
      <w:r>
        <w:rPr>
          <w:rFonts w:eastAsia="Times New Roman"/>
          <w:kern w:val="0"/>
          <w:sz w:val="24"/>
          <w:szCs w:val="24"/>
          <w:lang w:val="zh-CN"/>
        </w:rPr>
        <w:t>2020</w:t>
      </w:r>
      <w:r>
        <w:rPr>
          <w:rFonts w:ascii="宋体" w:hAnsi="宋体" w:cs="宋体" w:hint="eastAsia"/>
          <w:kern w:val="0"/>
          <w:sz w:val="24"/>
          <w:szCs w:val="24"/>
          <w:lang w:val="zh-CN"/>
        </w:rPr>
        <w:t>年疫情期间形成的高基数、疫情反复和社区团购的影响，连锁超市行业业绩指标普遍承压。市场形势的变化推动超市企业不断寻求转型，越来越多企业开始寻求多元的业务增长点，一些大卖场纷纷向会员店转型。与此同时，随着国内疫情常态化，实物商品线上化趋势不变，直播电商、社区团购等新业态迅速发展，实体零售企业线上销售额也不断提升。</w:t>
      </w:r>
    </w:p>
    <w:p w:rsidR="006645CA" w:rsidRDefault="00B92874">
      <w:pPr>
        <w:autoSpaceDE w:val="0"/>
        <w:autoSpaceDN w:val="0"/>
        <w:adjustRightInd w:val="0"/>
        <w:spacing w:before="0" w:after="0" w:line="400" w:lineRule="exact"/>
        <w:ind w:firstLine="482"/>
        <w:jc w:val="left"/>
        <w:rPr>
          <w:rFonts w:ascii="宋体" w:cs="宋体"/>
          <w:kern w:val="0"/>
          <w:sz w:val="24"/>
          <w:szCs w:val="24"/>
          <w:lang w:val="zh-CN"/>
        </w:rPr>
      </w:pPr>
      <w:r>
        <w:rPr>
          <w:rFonts w:ascii="宋体" w:hAnsi="宋体" w:cs="宋体" w:hint="eastAsia"/>
          <w:kern w:val="0"/>
          <w:sz w:val="24"/>
          <w:szCs w:val="24"/>
          <w:lang w:val="zh-CN"/>
        </w:rPr>
        <w:t>（</w:t>
      </w:r>
      <w:r>
        <w:rPr>
          <w:rFonts w:ascii="宋体" w:hAnsi="宋体" w:cs="宋体"/>
          <w:kern w:val="0"/>
          <w:sz w:val="24"/>
          <w:szCs w:val="24"/>
          <w:lang w:val="zh-CN"/>
        </w:rPr>
        <w:t>3</w:t>
      </w:r>
      <w:r>
        <w:rPr>
          <w:rFonts w:ascii="宋体" w:hAnsi="宋体" w:cs="宋体" w:hint="eastAsia"/>
          <w:kern w:val="0"/>
          <w:sz w:val="24"/>
          <w:szCs w:val="24"/>
          <w:lang w:val="zh-CN"/>
        </w:rPr>
        <w:t>）公司的市场地位</w:t>
      </w:r>
    </w:p>
    <w:p w:rsidR="006645CA" w:rsidRDefault="00B92874">
      <w:pPr>
        <w:autoSpaceDE w:val="0"/>
        <w:autoSpaceDN w:val="0"/>
        <w:adjustRightInd w:val="0"/>
        <w:spacing w:before="0" w:after="0" w:line="400" w:lineRule="exact"/>
        <w:ind w:firstLine="482"/>
        <w:rPr>
          <w:rFonts w:eastAsia="Times New Roman"/>
          <w:kern w:val="0"/>
          <w:sz w:val="24"/>
          <w:szCs w:val="24"/>
          <w:lang w:val="zh-CN"/>
        </w:rPr>
      </w:pPr>
      <w:r>
        <w:rPr>
          <w:rFonts w:ascii="宋体" w:hAnsi="宋体" w:cs="宋体" w:hint="eastAsia"/>
          <w:kern w:val="0"/>
          <w:sz w:val="24"/>
          <w:szCs w:val="24"/>
          <w:lang w:val="zh-CN"/>
        </w:rPr>
        <w:t>公司深耕本土市场多年，品牌、渠道、规模等优势比较明显，旗下大卖场、精品超市、食品超市、便利店、邻里生鲜店和全球商品直销中心等复合业态，更专、更灵活，契合了零售发展趋势。公司积极顺应零售行业的发展趋势，拥抱数字化转型浪潮，加速新零售业务拓展，提升线上业务运营水平。公司中央大厨房两大食品加工厂完成生产线改造升级，智能化物流中央仓运转稳定，食品加工和配送方面的独特优势更加显现，具有比较强的区域竞争力。</w:t>
      </w:r>
    </w:p>
    <w:p w:rsidR="006645CA" w:rsidRDefault="00B92874">
      <w:pPr>
        <w:autoSpaceDE w:val="0"/>
        <w:autoSpaceDN w:val="0"/>
        <w:adjustRightInd w:val="0"/>
        <w:spacing w:before="0" w:after="0" w:line="400" w:lineRule="exact"/>
        <w:ind w:firstLine="482"/>
        <w:rPr>
          <w:rFonts w:eastAsiaTheme="minorEastAsia"/>
          <w:kern w:val="0"/>
          <w:sz w:val="24"/>
          <w:szCs w:val="24"/>
          <w:lang w:val="zh-CN"/>
        </w:rPr>
      </w:pPr>
      <w:r>
        <w:rPr>
          <w:rFonts w:ascii="宋体" w:hAnsi="宋体" w:cs="宋体" w:hint="eastAsia"/>
          <w:kern w:val="0"/>
          <w:sz w:val="24"/>
          <w:szCs w:val="24"/>
          <w:lang w:val="zh-CN"/>
        </w:rPr>
        <w:t>根据中国商业联合会、中华全国商业信息中心联合发布的信息，公司位列</w:t>
      </w:r>
      <w:r>
        <w:rPr>
          <w:rFonts w:eastAsia="Times New Roman"/>
          <w:kern w:val="0"/>
          <w:sz w:val="24"/>
          <w:szCs w:val="24"/>
          <w:lang w:val="zh-CN"/>
        </w:rPr>
        <w:t>2020</w:t>
      </w:r>
      <w:r>
        <w:rPr>
          <w:rFonts w:ascii="宋体" w:hAnsi="宋体" w:cs="宋体" w:hint="eastAsia"/>
          <w:kern w:val="0"/>
          <w:sz w:val="24"/>
          <w:szCs w:val="24"/>
          <w:lang w:val="zh-CN"/>
        </w:rPr>
        <w:t>年中国零售百强第</w:t>
      </w:r>
      <w:r>
        <w:rPr>
          <w:rFonts w:eastAsia="Times New Roman"/>
          <w:kern w:val="0"/>
          <w:sz w:val="24"/>
          <w:szCs w:val="24"/>
          <w:lang w:val="zh-CN"/>
        </w:rPr>
        <w:t>28</w:t>
      </w:r>
      <w:r>
        <w:rPr>
          <w:rFonts w:ascii="宋体" w:hAnsi="宋体" w:cs="宋体" w:hint="eastAsia"/>
          <w:kern w:val="0"/>
          <w:sz w:val="24"/>
          <w:szCs w:val="24"/>
          <w:lang w:val="zh-CN"/>
        </w:rPr>
        <w:t>名。根据中国连锁经营协会发布的信息，公司位列</w:t>
      </w:r>
      <w:r>
        <w:rPr>
          <w:rFonts w:eastAsia="Times New Roman"/>
          <w:kern w:val="0"/>
          <w:sz w:val="24"/>
          <w:szCs w:val="24"/>
          <w:lang w:val="zh-CN"/>
        </w:rPr>
        <w:t>2020</w:t>
      </w:r>
      <w:r>
        <w:rPr>
          <w:rFonts w:ascii="宋体" w:hAnsi="宋体" w:cs="宋体" w:hint="eastAsia"/>
          <w:kern w:val="0"/>
          <w:sz w:val="24"/>
          <w:szCs w:val="24"/>
          <w:lang w:val="zh-CN"/>
        </w:rPr>
        <w:t>年中国连锁百强第</w:t>
      </w:r>
      <w:r>
        <w:rPr>
          <w:rFonts w:eastAsia="Times New Roman"/>
          <w:kern w:val="0"/>
          <w:sz w:val="24"/>
          <w:szCs w:val="24"/>
          <w:lang w:val="zh-CN"/>
        </w:rPr>
        <w:t>22</w:t>
      </w:r>
      <w:r>
        <w:rPr>
          <w:rFonts w:ascii="宋体" w:hAnsi="宋体" w:cs="宋体" w:hint="eastAsia"/>
          <w:kern w:val="0"/>
          <w:sz w:val="24"/>
          <w:szCs w:val="24"/>
          <w:lang w:val="zh-CN"/>
        </w:rPr>
        <w:t>名。公司市场份额、销售规模等指标继续保</w:t>
      </w:r>
      <w:r>
        <w:rPr>
          <w:rFonts w:ascii="宋体" w:hAnsi="宋体" w:cs="宋体" w:hint="eastAsia"/>
          <w:color w:val="000000" w:themeColor="text1"/>
          <w:kern w:val="0"/>
          <w:sz w:val="24"/>
          <w:szCs w:val="24"/>
          <w:lang w:val="zh-CN"/>
        </w:rPr>
        <w:t>持</w:t>
      </w:r>
      <w:r>
        <w:rPr>
          <w:rFonts w:ascii="宋体" w:hAnsi="宋体" w:cs="宋体" w:hint="eastAsia"/>
          <w:color w:val="000000" w:themeColor="text1"/>
          <w:kern w:val="0"/>
          <w:sz w:val="24"/>
          <w:szCs w:val="24"/>
        </w:rPr>
        <w:t>区域内</w:t>
      </w:r>
      <w:r>
        <w:rPr>
          <w:rFonts w:ascii="宋体" w:hAnsi="宋体" w:cs="宋体" w:hint="eastAsia"/>
          <w:color w:val="000000" w:themeColor="text1"/>
          <w:kern w:val="0"/>
          <w:sz w:val="24"/>
          <w:szCs w:val="24"/>
          <w:lang w:val="zh-CN"/>
        </w:rPr>
        <w:t>行</w:t>
      </w:r>
      <w:r>
        <w:rPr>
          <w:rFonts w:ascii="宋体" w:hAnsi="宋体" w:cs="宋体" w:hint="eastAsia"/>
          <w:kern w:val="0"/>
          <w:sz w:val="24"/>
          <w:szCs w:val="24"/>
          <w:lang w:val="zh-CN"/>
        </w:rPr>
        <w:t>业领先。</w:t>
      </w:r>
    </w:p>
    <w:p w:rsidR="006645CA" w:rsidRDefault="00B92874">
      <w:pPr>
        <w:pStyle w:val="Section"/>
        <w:keepNext w:val="0"/>
        <w:keepLines w:val="0"/>
        <w:spacing w:before="200" w:after="0" w:line="240" w:lineRule="auto"/>
        <w:outlineLvl w:val="2"/>
        <w:rPr>
          <w:b w:val="0"/>
          <w:sz w:val="24"/>
          <w:szCs w:val="24"/>
        </w:rPr>
      </w:pPr>
      <w:r>
        <w:rPr>
          <w:b w:val="0"/>
          <w:sz w:val="24"/>
          <w:szCs w:val="24"/>
        </w:rPr>
        <w:t>3</w:t>
      </w:r>
      <w:r>
        <w:rPr>
          <w:rFonts w:hint="eastAsia"/>
          <w:b w:val="0"/>
          <w:sz w:val="24"/>
          <w:szCs w:val="24"/>
        </w:rPr>
        <w:t>.</w:t>
      </w:r>
      <w:r>
        <w:rPr>
          <w:rFonts w:hint="eastAsia"/>
          <w:b w:val="0"/>
          <w:sz w:val="24"/>
          <w:szCs w:val="24"/>
        </w:rPr>
        <w:t>主要会计数据和财务指标</w:t>
      </w:r>
    </w:p>
    <w:p w:rsidR="006645CA" w:rsidRDefault="00B92874">
      <w:pPr>
        <w:pStyle w:val="Section"/>
        <w:keepNext w:val="0"/>
        <w:keepLines w:val="0"/>
        <w:spacing w:before="100" w:after="0" w:line="240" w:lineRule="auto"/>
        <w:outlineLvl w:val="3"/>
        <w:rPr>
          <w:b w:val="0"/>
          <w:bCs w:val="0"/>
          <w:sz w:val="24"/>
          <w:szCs w:val="24"/>
        </w:rPr>
      </w:pPr>
      <w:r>
        <w:rPr>
          <w:rFonts w:hint="eastAsia"/>
          <w:b w:val="0"/>
          <w:bCs w:val="0"/>
          <w:sz w:val="24"/>
          <w:szCs w:val="24"/>
        </w:rPr>
        <w:t>（</w:t>
      </w:r>
      <w:r>
        <w:rPr>
          <w:b w:val="0"/>
          <w:bCs w:val="0"/>
          <w:sz w:val="24"/>
          <w:szCs w:val="24"/>
        </w:rPr>
        <w:t>1</w:t>
      </w:r>
      <w:r>
        <w:rPr>
          <w:rFonts w:hint="eastAsia"/>
          <w:b w:val="0"/>
          <w:bCs w:val="0"/>
          <w:sz w:val="24"/>
          <w:szCs w:val="24"/>
        </w:rPr>
        <w:t>）近三年主要会计数据和财务指标</w:t>
      </w:r>
    </w:p>
    <w:p w:rsidR="006645CA" w:rsidRDefault="00B92874">
      <w:pPr>
        <w:jc w:val="left"/>
        <w:rPr>
          <w:sz w:val="24"/>
          <w:szCs w:val="24"/>
        </w:rPr>
      </w:pPr>
      <w:r>
        <w:rPr>
          <w:rFonts w:hint="eastAsia"/>
          <w:sz w:val="24"/>
          <w:szCs w:val="24"/>
        </w:rPr>
        <w:t>公司是否需追溯调整或重述以前年度会计数据</w:t>
      </w:r>
    </w:p>
    <w:p w:rsidR="006645CA" w:rsidRDefault="00B92874">
      <w:pPr>
        <w:jc w:val="left"/>
        <w:rPr>
          <w:sz w:val="24"/>
          <w:szCs w:val="24"/>
        </w:rPr>
      </w:pPr>
      <w:r>
        <w:rPr>
          <w:sz w:val="24"/>
          <w:szCs w:val="24"/>
        </w:rPr>
        <w:t xml:space="preserve">□ </w:t>
      </w:r>
      <w:r>
        <w:rPr>
          <w:rFonts w:hint="eastAsia"/>
          <w:sz w:val="24"/>
          <w:szCs w:val="24"/>
        </w:rPr>
        <w:t>是</w:t>
      </w:r>
      <w:r>
        <w:rPr>
          <w:sz w:val="24"/>
          <w:szCs w:val="24"/>
        </w:rPr>
        <w:t xml:space="preserve"> √ </w:t>
      </w:r>
      <w:r>
        <w:rPr>
          <w:rFonts w:hint="eastAsia"/>
          <w:sz w:val="24"/>
          <w:szCs w:val="24"/>
        </w:rPr>
        <w:t>否</w:t>
      </w:r>
      <w:r>
        <w:rPr>
          <w:sz w:val="24"/>
          <w:szCs w:val="24"/>
        </w:rPr>
        <w:t xml:space="preserve"> </w:t>
      </w:r>
    </w:p>
    <w:p w:rsidR="006645CA" w:rsidRDefault="00B92874">
      <w:pPr>
        <w:jc w:val="right"/>
        <w:rPr>
          <w:sz w:val="21"/>
          <w:szCs w:val="21"/>
        </w:rPr>
      </w:pPr>
      <w:r>
        <w:rPr>
          <w:rFonts w:hint="eastAsia"/>
          <w:sz w:val="21"/>
          <w:szCs w:val="21"/>
        </w:rPr>
        <w:t>单位：元</w:t>
      </w:r>
    </w:p>
    <w:tbl>
      <w:tblPr>
        <w:tblW w:w="9568" w:type="dxa"/>
        <w:tblInd w:w="28" w:type="dxa"/>
        <w:tblLayout w:type="fixed"/>
        <w:tblCellMar>
          <w:left w:w="28" w:type="dxa"/>
          <w:right w:w="28" w:type="dxa"/>
        </w:tblCellMar>
        <w:tblLook w:val="04A0"/>
      </w:tblPr>
      <w:tblGrid>
        <w:gridCol w:w="2977"/>
        <w:gridCol w:w="1843"/>
        <w:gridCol w:w="1701"/>
        <w:gridCol w:w="1276"/>
        <w:gridCol w:w="1771"/>
      </w:tblGrid>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6645CA">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sz w:val="21"/>
                <w:szCs w:val="21"/>
              </w:rPr>
              <w:t>2021</w:t>
            </w:r>
            <w:r>
              <w:rPr>
                <w:rFonts w:hint="eastAsia"/>
                <w:sz w:val="21"/>
                <w:szCs w:val="21"/>
              </w:rPr>
              <w:t>年末</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sz w:val="21"/>
                <w:szCs w:val="21"/>
              </w:rPr>
              <w:t>2020</w:t>
            </w:r>
            <w:r>
              <w:rPr>
                <w:rFonts w:hint="eastAsia"/>
                <w:sz w:val="21"/>
                <w:szCs w:val="21"/>
              </w:rPr>
              <w:t>年末</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本年末比上年末增减</w:t>
            </w:r>
          </w:p>
        </w:tc>
        <w:tc>
          <w:tcPr>
            <w:tcW w:w="1771"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sz w:val="21"/>
                <w:szCs w:val="21"/>
              </w:rPr>
              <w:t>2019</w:t>
            </w:r>
            <w:r>
              <w:rPr>
                <w:rFonts w:hint="eastAsia"/>
                <w:sz w:val="21"/>
                <w:szCs w:val="21"/>
              </w:rPr>
              <w:t>年末</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总资产</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12,461,313,707.81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9,557,286,957.60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30.39%</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9,210,266,623.34</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归属于上市公司股东的净资产</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3,073,799,250.44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3,216,226,808.34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-4.43%</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3,354,591,082.02</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6645CA">
            <w:pPr>
              <w:jc w:val="left"/>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sz w:val="21"/>
                <w:szCs w:val="21"/>
              </w:rPr>
              <w:t>2021</w:t>
            </w:r>
            <w:r>
              <w:rPr>
                <w:rFonts w:hint="eastAsia"/>
                <w:sz w:val="21"/>
                <w:szCs w:val="21"/>
              </w:rPr>
              <w:t>年</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sz w:val="21"/>
                <w:szCs w:val="21"/>
              </w:rPr>
              <w:t>2020</w:t>
            </w:r>
            <w:r>
              <w:rPr>
                <w:rFonts w:hint="eastAsia"/>
                <w:sz w:val="21"/>
                <w:szCs w:val="21"/>
              </w:rPr>
              <w:t>年</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本年比上年增减</w:t>
            </w:r>
          </w:p>
        </w:tc>
        <w:tc>
          <w:tcPr>
            <w:tcW w:w="1771"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sz w:val="21"/>
                <w:szCs w:val="21"/>
              </w:rPr>
              <w:t>2019</w:t>
            </w:r>
            <w:r>
              <w:rPr>
                <w:rFonts w:hint="eastAsia"/>
                <w:sz w:val="21"/>
                <w:szCs w:val="21"/>
              </w:rPr>
              <w:t>年</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营业收入</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12,330,553,660.77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13,128,786,002.31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-6.08%</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15,547,874,380.83</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归属于上市公司股东的净利润</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-22,482,683.39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43,131,874.12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-152.13%</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10,196,510.39</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归属于上市公司股东的扣除非经常性损益的净利润</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-104,104,447.23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48,824,651.93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-313.22%</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33,219,237.59</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经营活动产生的现金流量净额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936,710,506.54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868,272,374.14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7.88%</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845,288,713.83</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基本每股收益（元</w:t>
            </w:r>
            <w:r>
              <w:rPr>
                <w:sz w:val="21"/>
                <w:szCs w:val="21"/>
              </w:rPr>
              <w:t>/</w:t>
            </w:r>
            <w:r>
              <w:rPr>
                <w:rFonts w:hint="eastAsia"/>
                <w:sz w:val="21"/>
                <w:szCs w:val="21"/>
              </w:rPr>
              <w:t>股）</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-0.03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0.07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-142.86%</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0.01</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稀释每股收益（元</w:t>
            </w:r>
            <w:r>
              <w:rPr>
                <w:sz w:val="21"/>
                <w:szCs w:val="21"/>
              </w:rPr>
              <w:t>/</w:t>
            </w:r>
            <w:r>
              <w:rPr>
                <w:rFonts w:hint="eastAsia"/>
                <w:sz w:val="21"/>
                <w:szCs w:val="21"/>
              </w:rPr>
              <w:t>股）</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-0.03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0.07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-142.86%</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0.01</w:t>
            </w:r>
          </w:p>
        </w:tc>
      </w:tr>
      <w:tr w:rsidR="006645CA">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加权平均净资产收益率</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-0.71%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1.27%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-1.98%</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0.30%</w:t>
            </w:r>
          </w:p>
        </w:tc>
      </w:tr>
    </w:tbl>
    <w:p w:rsidR="006645CA" w:rsidRDefault="00B92874">
      <w:pPr>
        <w:pStyle w:val="Section"/>
        <w:keepNext w:val="0"/>
        <w:keepLines w:val="0"/>
        <w:spacing w:before="100" w:after="0" w:line="240" w:lineRule="auto"/>
        <w:outlineLvl w:val="3"/>
        <w:rPr>
          <w:b w:val="0"/>
          <w:bCs w:val="0"/>
          <w:sz w:val="24"/>
          <w:szCs w:val="24"/>
        </w:rPr>
      </w:pPr>
      <w:r>
        <w:rPr>
          <w:rFonts w:hint="eastAsia"/>
          <w:b w:val="0"/>
          <w:bCs w:val="0"/>
          <w:sz w:val="24"/>
          <w:szCs w:val="24"/>
        </w:rPr>
        <w:t>（</w:t>
      </w:r>
      <w:r>
        <w:rPr>
          <w:b w:val="0"/>
          <w:bCs w:val="0"/>
          <w:sz w:val="24"/>
          <w:szCs w:val="24"/>
        </w:rPr>
        <w:t>2</w:t>
      </w:r>
      <w:r>
        <w:rPr>
          <w:rFonts w:hint="eastAsia"/>
          <w:b w:val="0"/>
          <w:bCs w:val="0"/>
          <w:sz w:val="24"/>
          <w:szCs w:val="24"/>
        </w:rPr>
        <w:t>）分季度主要会计数据</w:t>
      </w:r>
    </w:p>
    <w:p w:rsidR="006645CA" w:rsidRDefault="00B92874">
      <w:pPr>
        <w:jc w:val="right"/>
        <w:rPr>
          <w:sz w:val="21"/>
          <w:szCs w:val="21"/>
        </w:rPr>
      </w:pPr>
      <w:r>
        <w:rPr>
          <w:rFonts w:hint="eastAsia"/>
          <w:sz w:val="21"/>
          <w:szCs w:val="21"/>
        </w:rPr>
        <w:t>单位：元</w:t>
      </w:r>
    </w:p>
    <w:tbl>
      <w:tblPr>
        <w:tblW w:w="9567" w:type="dxa"/>
        <w:tblInd w:w="28" w:type="dxa"/>
        <w:tblLayout w:type="fixed"/>
        <w:tblCellMar>
          <w:left w:w="28" w:type="dxa"/>
          <w:right w:w="28" w:type="dxa"/>
        </w:tblCellMar>
        <w:tblLook w:val="04A0"/>
      </w:tblPr>
      <w:tblGrid>
        <w:gridCol w:w="2835"/>
        <w:gridCol w:w="1556"/>
        <w:gridCol w:w="1727"/>
        <w:gridCol w:w="1727"/>
        <w:gridCol w:w="1722"/>
      </w:tblGrid>
      <w:tr w:rsidR="006645CA">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6645CA">
            <w:pPr>
              <w:jc w:val="center"/>
              <w:rPr>
                <w:sz w:val="21"/>
                <w:szCs w:val="21"/>
              </w:rPr>
            </w:pPr>
          </w:p>
        </w:tc>
        <w:tc>
          <w:tcPr>
            <w:tcW w:w="1556"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第一季度</w:t>
            </w:r>
          </w:p>
        </w:tc>
        <w:tc>
          <w:tcPr>
            <w:tcW w:w="172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第二季度</w:t>
            </w:r>
          </w:p>
        </w:tc>
        <w:tc>
          <w:tcPr>
            <w:tcW w:w="1727"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第三季度</w:t>
            </w:r>
          </w:p>
        </w:tc>
        <w:tc>
          <w:tcPr>
            <w:tcW w:w="1722"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第四季度</w:t>
            </w:r>
          </w:p>
        </w:tc>
      </w:tr>
      <w:tr w:rsidR="006645CA">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营业收入</w:t>
            </w:r>
          </w:p>
        </w:tc>
        <w:tc>
          <w:tcPr>
            <w:tcW w:w="1556"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3,489,033,829.37</w:t>
            </w:r>
          </w:p>
        </w:tc>
        <w:tc>
          <w:tcPr>
            <w:tcW w:w="1727"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2,845,392,108.10</w:t>
            </w:r>
          </w:p>
        </w:tc>
        <w:tc>
          <w:tcPr>
            <w:tcW w:w="1727"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3,003,255,899.31</w:t>
            </w:r>
          </w:p>
        </w:tc>
        <w:tc>
          <w:tcPr>
            <w:tcW w:w="1722"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2,992,871,823.99</w:t>
            </w:r>
          </w:p>
        </w:tc>
      </w:tr>
      <w:tr w:rsidR="006645CA">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归属于上市公司股东的净利润</w:t>
            </w:r>
          </w:p>
        </w:tc>
        <w:tc>
          <w:tcPr>
            <w:tcW w:w="1556"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2,430,116.70</w:t>
            </w:r>
          </w:p>
        </w:tc>
        <w:tc>
          <w:tcPr>
            <w:tcW w:w="1727"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5,291,197.11</w:t>
            </w:r>
          </w:p>
        </w:tc>
        <w:tc>
          <w:tcPr>
            <w:tcW w:w="1727"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-32,439,861.96</w:t>
            </w:r>
          </w:p>
        </w:tc>
        <w:tc>
          <w:tcPr>
            <w:tcW w:w="1722"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2,235,864.76</w:t>
            </w:r>
          </w:p>
        </w:tc>
      </w:tr>
      <w:tr w:rsidR="006645CA">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归属于上市公司股东的扣除非经常性损益的净利润</w:t>
            </w:r>
          </w:p>
        </w:tc>
        <w:tc>
          <w:tcPr>
            <w:tcW w:w="1556"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-22,923,491.93</w:t>
            </w:r>
          </w:p>
        </w:tc>
        <w:tc>
          <w:tcPr>
            <w:tcW w:w="1727"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-8,766,041.83</w:t>
            </w:r>
          </w:p>
        </w:tc>
        <w:tc>
          <w:tcPr>
            <w:tcW w:w="1727"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-44,917,731.51</w:t>
            </w:r>
          </w:p>
        </w:tc>
        <w:tc>
          <w:tcPr>
            <w:tcW w:w="1722"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-27,497,181.96</w:t>
            </w:r>
          </w:p>
        </w:tc>
      </w:tr>
      <w:tr w:rsidR="006645CA">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经营活动产生的现金流量净额</w:t>
            </w:r>
          </w:p>
        </w:tc>
        <w:tc>
          <w:tcPr>
            <w:tcW w:w="1556"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508,650,054.39</w:t>
            </w:r>
          </w:p>
        </w:tc>
        <w:tc>
          <w:tcPr>
            <w:tcW w:w="1727"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22,363,701.48</w:t>
            </w:r>
          </w:p>
        </w:tc>
        <w:tc>
          <w:tcPr>
            <w:tcW w:w="1727"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526,965,940.65</w:t>
            </w:r>
          </w:p>
        </w:tc>
        <w:tc>
          <w:tcPr>
            <w:tcW w:w="1722"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-121,269,189.98</w:t>
            </w:r>
          </w:p>
        </w:tc>
      </w:tr>
    </w:tbl>
    <w:p w:rsidR="006645CA" w:rsidRDefault="00B92874">
      <w:pPr>
        <w:jc w:val="left"/>
        <w:rPr>
          <w:sz w:val="24"/>
          <w:szCs w:val="24"/>
        </w:rPr>
      </w:pPr>
      <w:r>
        <w:rPr>
          <w:rFonts w:hint="eastAsia"/>
          <w:sz w:val="24"/>
          <w:szCs w:val="24"/>
        </w:rPr>
        <w:t>上述财务指标或其加总数是否与公司已披露季度报告、半年度报告相关财务指标存在重大差异</w:t>
      </w:r>
    </w:p>
    <w:p w:rsidR="006645CA" w:rsidRDefault="00B92874">
      <w:pPr>
        <w:jc w:val="left"/>
        <w:rPr>
          <w:sz w:val="24"/>
          <w:szCs w:val="24"/>
        </w:rPr>
      </w:pPr>
      <w:r>
        <w:rPr>
          <w:sz w:val="24"/>
          <w:szCs w:val="24"/>
        </w:rPr>
        <w:t xml:space="preserve">□ </w:t>
      </w:r>
      <w:r>
        <w:rPr>
          <w:rFonts w:hint="eastAsia"/>
          <w:sz w:val="24"/>
          <w:szCs w:val="24"/>
        </w:rPr>
        <w:t>是</w:t>
      </w:r>
      <w:r>
        <w:rPr>
          <w:sz w:val="24"/>
          <w:szCs w:val="24"/>
        </w:rPr>
        <w:t xml:space="preserve"> √ </w:t>
      </w:r>
      <w:r>
        <w:rPr>
          <w:rFonts w:hint="eastAsia"/>
          <w:sz w:val="24"/>
          <w:szCs w:val="24"/>
        </w:rPr>
        <w:t>否</w:t>
      </w:r>
      <w:r>
        <w:rPr>
          <w:sz w:val="24"/>
          <w:szCs w:val="24"/>
        </w:rPr>
        <w:t xml:space="preserve"> </w:t>
      </w:r>
    </w:p>
    <w:p w:rsidR="006645CA" w:rsidRDefault="00B92874">
      <w:pPr>
        <w:pStyle w:val="Section"/>
        <w:keepNext w:val="0"/>
        <w:keepLines w:val="0"/>
        <w:spacing w:before="200" w:after="0" w:line="240" w:lineRule="auto"/>
        <w:outlineLvl w:val="2"/>
        <w:rPr>
          <w:b w:val="0"/>
          <w:sz w:val="24"/>
          <w:szCs w:val="24"/>
        </w:rPr>
      </w:pPr>
      <w:r>
        <w:rPr>
          <w:b w:val="0"/>
          <w:sz w:val="24"/>
          <w:szCs w:val="24"/>
        </w:rPr>
        <w:t>4</w:t>
      </w:r>
      <w:r>
        <w:rPr>
          <w:rFonts w:hint="eastAsia"/>
          <w:b w:val="0"/>
          <w:sz w:val="24"/>
          <w:szCs w:val="24"/>
        </w:rPr>
        <w:t>.</w:t>
      </w:r>
      <w:r>
        <w:rPr>
          <w:rFonts w:hint="eastAsia"/>
          <w:b w:val="0"/>
          <w:sz w:val="24"/>
          <w:szCs w:val="24"/>
        </w:rPr>
        <w:t>股本及股东情况</w:t>
      </w:r>
    </w:p>
    <w:p w:rsidR="006645CA" w:rsidRDefault="00B92874">
      <w:pPr>
        <w:pStyle w:val="Section"/>
        <w:keepNext w:val="0"/>
        <w:keepLines w:val="0"/>
        <w:spacing w:before="100" w:after="0" w:line="240" w:lineRule="auto"/>
        <w:outlineLvl w:val="2"/>
        <w:rPr>
          <w:b w:val="0"/>
          <w:sz w:val="24"/>
          <w:szCs w:val="24"/>
        </w:rPr>
      </w:pPr>
      <w:r>
        <w:rPr>
          <w:rFonts w:hint="eastAsia"/>
          <w:b w:val="0"/>
          <w:sz w:val="24"/>
          <w:szCs w:val="24"/>
        </w:rPr>
        <w:t>（</w:t>
      </w:r>
      <w:r>
        <w:rPr>
          <w:b w:val="0"/>
          <w:sz w:val="24"/>
          <w:szCs w:val="24"/>
        </w:rPr>
        <w:t>1</w:t>
      </w:r>
      <w:r>
        <w:rPr>
          <w:rFonts w:hint="eastAsia"/>
          <w:b w:val="0"/>
          <w:sz w:val="24"/>
          <w:szCs w:val="24"/>
        </w:rPr>
        <w:t>）普通股股东和表决权恢复的优先股股东数量及前</w:t>
      </w:r>
      <w:r>
        <w:rPr>
          <w:b w:val="0"/>
          <w:sz w:val="24"/>
          <w:szCs w:val="24"/>
        </w:rPr>
        <w:t>10</w:t>
      </w:r>
      <w:r>
        <w:rPr>
          <w:rFonts w:hint="eastAsia"/>
          <w:b w:val="0"/>
          <w:sz w:val="24"/>
          <w:szCs w:val="24"/>
        </w:rPr>
        <w:t>名股东持股情况表</w:t>
      </w:r>
    </w:p>
    <w:p w:rsidR="006645CA" w:rsidRDefault="00B92874">
      <w:pPr>
        <w:jc w:val="right"/>
        <w:rPr>
          <w:sz w:val="21"/>
          <w:szCs w:val="21"/>
        </w:rPr>
      </w:pPr>
      <w:r>
        <w:rPr>
          <w:rFonts w:hint="eastAsia"/>
          <w:sz w:val="21"/>
          <w:szCs w:val="21"/>
        </w:rPr>
        <w:t>单位：股</w:t>
      </w:r>
    </w:p>
    <w:tbl>
      <w:tblPr>
        <w:tblW w:w="9568" w:type="dxa"/>
        <w:tblInd w:w="28" w:type="dxa"/>
        <w:tblLayout w:type="fixed"/>
        <w:tblCellMar>
          <w:left w:w="28" w:type="dxa"/>
          <w:right w:w="28" w:type="dxa"/>
        </w:tblCellMar>
        <w:tblLook w:val="04A0"/>
      </w:tblPr>
      <w:tblGrid>
        <w:gridCol w:w="1202"/>
        <w:gridCol w:w="930"/>
        <w:gridCol w:w="1129"/>
        <w:gridCol w:w="425"/>
        <w:gridCol w:w="971"/>
        <w:gridCol w:w="163"/>
        <w:gridCol w:w="850"/>
        <w:gridCol w:w="315"/>
        <w:gridCol w:w="930"/>
        <w:gridCol w:w="31"/>
        <w:gridCol w:w="851"/>
        <w:gridCol w:w="643"/>
        <w:gridCol w:w="491"/>
        <w:gridCol w:w="637"/>
      </w:tblGrid>
      <w:tr w:rsidR="006645CA">
        <w:tc>
          <w:tcPr>
            <w:tcW w:w="1202"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报告期末普通股股东总数</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21,250</w:t>
            </w:r>
          </w:p>
        </w:tc>
        <w:tc>
          <w:tcPr>
            <w:tcW w:w="155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年度报告披露日前一个月末普通股股东总数</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21,818</w:t>
            </w:r>
          </w:p>
        </w:tc>
        <w:tc>
          <w:tcPr>
            <w:tcW w:w="132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报告期末表决权恢复的优先股股东总数</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w:t>
            </w:r>
          </w:p>
        </w:tc>
        <w:tc>
          <w:tcPr>
            <w:tcW w:w="201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年度报告披露日前一个月末表决权恢复的优先股股东总数</w:t>
            </w: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0</w:t>
            </w:r>
          </w:p>
        </w:tc>
      </w:tr>
      <w:tr w:rsidR="006645CA">
        <w:tc>
          <w:tcPr>
            <w:tcW w:w="9568" w:type="dxa"/>
            <w:gridSpan w:val="14"/>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前</w:t>
            </w:r>
            <w:r>
              <w:rPr>
                <w:sz w:val="21"/>
                <w:szCs w:val="21"/>
              </w:rPr>
              <w:t>10</w:t>
            </w:r>
            <w:r>
              <w:rPr>
                <w:rFonts w:hint="eastAsia"/>
                <w:sz w:val="21"/>
                <w:szCs w:val="21"/>
              </w:rPr>
              <w:t>名股东持股情况</w:t>
            </w:r>
          </w:p>
        </w:tc>
      </w:tr>
      <w:tr w:rsidR="006645CA">
        <w:tc>
          <w:tcPr>
            <w:tcW w:w="3261"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股东名称</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股东性质</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持股</w:t>
            </w:r>
          </w:p>
          <w:p w:rsidR="006645CA" w:rsidRDefault="00B92874">
            <w:pPr>
              <w:jc w:val="center"/>
              <w:rPr>
                <w:sz w:val="21"/>
                <w:szCs w:val="21"/>
              </w:rPr>
            </w:pPr>
            <w:r>
              <w:rPr>
                <w:rFonts w:hint="eastAsia"/>
                <w:sz w:val="21"/>
                <w:szCs w:val="21"/>
              </w:rPr>
              <w:t>比例</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持股数量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持有有限售条件的股份数量</w:t>
            </w:r>
          </w:p>
        </w:tc>
        <w:tc>
          <w:tcPr>
            <w:tcW w:w="177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质押、标记或冻结情况</w:t>
            </w:r>
          </w:p>
        </w:tc>
      </w:tr>
      <w:tr w:rsidR="006645CA">
        <w:tc>
          <w:tcPr>
            <w:tcW w:w="3261" w:type="dxa"/>
            <w:gridSpan w:val="3"/>
            <w:vMerge/>
            <w:tcBorders>
              <w:top w:val="single" w:sz="4" w:space="0" w:color="auto"/>
              <w:left w:val="single" w:sz="4" w:space="0" w:color="auto"/>
              <w:bottom w:val="single" w:sz="4" w:space="0" w:color="auto"/>
              <w:right w:val="single" w:sz="4" w:space="0" w:color="auto"/>
            </w:tcBorders>
            <w:vAlign w:val="center"/>
          </w:tcPr>
          <w:p w:rsidR="006645CA" w:rsidRDefault="006645CA">
            <w:pPr>
              <w:jc w:val="center"/>
              <w:rPr>
                <w:sz w:val="21"/>
                <w:szCs w:val="21"/>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6645CA" w:rsidRDefault="006645CA">
            <w:pPr>
              <w:jc w:val="center"/>
              <w:rPr>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645CA" w:rsidRDefault="006645CA">
            <w:pPr>
              <w:jc w:val="center"/>
              <w:rPr>
                <w:sz w:val="21"/>
                <w:szCs w:val="21"/>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6645CA" w:rsidRDefault="006645CA">
            <w:pPr>
              <w:jc w:val="center"/>
              <w:rPr>
                <w:sz w:val="21"/>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645CA" w:rsidRDefault="006645CA">
            <w:pPr>
              <w:jc w:val="center"/>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股份状态</w:t>
            </w:r>
          </w:p>
        </w:tc>
        <w:tc>
          <w:tcPr>
            <w:tcW w:w="11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center"/>
              <w:rPr>
                <w:sz w:val="21"/>
                <w:szCs w:val="21"/>
              </w:rPr>
            </w:pPr>
            <w:r>
              <w:rPr>
                <w:rFonts w:hint="eastAsia"/>
                <w:sz w:val="21"/>
                <w:szCs w:val="21"/>
              </w:rPr>
              <w:t>数量</w:t>
            </w: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武汉商联（集团）股份有限公司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国有法人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20.07%</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136,684,090</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64,741</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重庆永辉超市有限公司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境内非国有法人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15.02%</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102,284,543</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武汉华汉投资管理有限公司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国有法人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13.93%</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94,853,195</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永辉物流有限公司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境内非国有法人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9.84%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67,016,493</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新光控股集团有限公司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境内非国有法人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5.95%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40,528,928</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left"/>
              <w:rPr>
                <w:sz w:val="21"/>
                <w:szCs w:val="21"/>
              </w:rPr>
            </w:pPr>
            <w:r>
              <w:rPr>
                <w:rFonts w:hint="eastAsia"/>
                <w:sz w:val="21"/>
                <w:szCs w:val="21"/>
              </w:rPr>
              <w:t>冻结</w:t>
            </w: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right"/>
              <w:rPr>
                <w:sz w:val="21"/>
                <w:szCs w:val="21"/>
              </w:rPr>
            </w:pPr>
            <w:r>
              <w:rPr>
                <w:sz w:val="21"/>
                <w:szCs w:val="21"/>
              </w:rPr>
              <w:t>40,528,928</w:t>
            </w: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永辉超市股份有限公司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境内非国有法人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5.00%</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34,051,090</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长江证券－工商银行－长江证券超越理财宝</w:t>
            </w:r>
            <w:r>
              <w:rPr>
                <w:sz w:val="21"/>
                <w:szCs w:val="21"/>
              </w:rPr>
              <w:t>6</w:t>
            </w:r>
            <w:r>
              <w:rPr>
                <w:rFonts w:hint="eastAsia"/>
                <w:sz w:val="21"/>
                <w:szCs w:val="21"/>
              </w:rPr>
              <w:t>号集合资产管理计划</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其他</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1.53%</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10,396,700</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必拓电子商务有限公司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境内非国有法人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0.97%</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6,578,755</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武汉城市建设集团有限公司</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国有法人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0.92%</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6,296,831</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3261"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李桃</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left"/>
              <w:rPr>
                <w:sz w:val="21"/>
                <w:szCs w:val="21"/>
              </w:rPr>
            </w:pPr>
            <w:r>
              <w:rPr>
                <w:rFonts w:hint="eastAsia"/>
                <w:sz w:val="21"/>
                <w:szCs w:val="21"/>
              </w:rPr>
              <w:t>境内自然人</w:t>
            </w:r>
          </w:p>
        </w:tc>
        <w:tc>
          <w:tcPr>
            <w:tcW w:w="850" w:type="dxa"/>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0.67%</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645CA" w:rsidRDefault="00B92874">
            <w:pPr>
              <w:jc w:val="right"/>
              <w:rPr>
                <w:sz w:val="21"/>
                <w:szCs w:val="21"/>
              </w:rPr>
            </w:pPr>
            <w:r>
              <w:rPr>
                <w:sz w:val="21"/>
                <w:szCs w:val="21"/>
              </w:rPr>
              <w:t>4,580,716</w:t>
            </w:r>
          </w:p>
        </w:tc>
        <w:tc>
          <w:tcPr>
            <w:tcW w:w="851" w:type="dxa"/>
            <w:tcBorders>
              <w:top w:val="single" w:sz="4" w:space="0" w:color="auto"/>
              <w:left w:val="single" w:sz="4" w:space="0" w:color="auto"/>
              <w:bottom w:val="single" w:sz="4" w:space="0" w:color="auto"/>
              <w:right w:val="single" w:sz="4" w:space="0" w:color="auto"/>
            </w:tcBorders>
            <w:vAlign w:val="center"/>
          </w:tcPr>
          <w:p w:rsidR="006645CA" w:rsidRDefault="006645CA">
            <w:pPr>
              <w:jc w:val="right"/>
              <w:rPr>
                <w:sz w:val="21"/>
                <w:szCs w:val="21"/>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6645CA">
            <w:pPr>
              <w:jc w:val="right"/>
              <w:rPr>
                <w:sz w:val="21"/>
                <w:szCs w:val="21"/>
              </w:rPr>
            </w:pPr>
          </w:p>
        </w:tc>
      </w:tr>
      <w:tr w:rsidR="006645CA">
        <w:tc>
          <w:tcPr>
            <w:tcW w:w="4820"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上述股东关联关系或一致行动的说明</w:t>
            </w:r>
          </w:p>
        </w:tc>
        <w:tc>
          <w:tcPr>
            <w:tcW w:w="474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left"/>
              <w:rPr>
                <w:sz w:val="21"/>
                <w:szCs w:val="21"/>
              </w:rPr>
            </w:pPr>
            <w:r>
              <w:rPr>
                <w:rFonts w:hint="eastAsia"/>
                <w:sz w:val="21"/>
                <w:szCs w:val="21"/>
              </w:rPr>
              <w:t>武汉商联</w:t>
            </w:r>
            <w:r>
              <w:rPr>
                <w:sz w:val="21"/>
                <w:szCs w:val="21"/>
              </w:rPr>
              <w:t>(</w:t>
            </w:r>
            <w:r>
              <w:rPr>
                <w:rFonts w:hint="eastAsia"/>
                <w:sz w:val="21"/>
                <w:szCs w:val="21"/>
              </w:rPr>
              <w:t>集团</w:t>
            </w:r>
            <w:r>
              <w:rPr>
                <w:sz w:val="21"/>
                <w:szCs w:val="21"/>
              </w:rPr>
              <w:t>)</w:t>
            </w:r>
            <w:r>
              <w:rPr>
                <w:rFonts w:hint="eastAsia"/>
                <w:sz w:val="21"/>
                <w:szCs w:val="21"/>
              </w:rPr>
              <w:t>股份有限公司和武汉华汉投资管理有限公司的控股股东同为武汉商贸集团有限公司。永辉超市股份有限公司及其全资子公司重庆永辉超市有限公司、永辉物流有限公司为一致行动人。公司未知其他股东间是否存在关联关系或一致行动人的情况。</w:t>
            </w:r>
          </w:p>
        </w:tc>
      </w:tr>
      <w:tr w:rsidR="006645CA">
        <w:tc>
          <w:tcPr>
            <w:tcW w:w="4820"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adjustRightInd w:val="0"/>
              <w:snapToGrid w:val="0"/>
              <w:spacing w:before="0" w:after="0"/>
              <w:jc w:val="left"/>
              <w:rPr>
                <w:sz w:val="21"/>
                <w:szCs w:val="21"/>
              </w:rPr>
            </w:pPr>
            <w:r>
              <w:rPr>
                <w:color w:val="000000" w:themeColor="text1"/>
                <w:sz w:val="21"/>
                <w:szCs w:val="21"/>
              </w:rPr>
              <w:t>前</w:t>
            </w:r>
            <w:r>
              <w:rPr>
                <w:color w:val="000000" w:themeColor="text1"/>
                <w:sz w:val="21"/>
                <w:szCs w:val="21"/>
              </w:rPr>
              <w:t>10</w:t>
            </w:r>
            <w:r>
              <w:rPr>
                <w:color w:val="000000" w:themeColor="text1"/>
                <w:sz w:val="21"/>
                <w:szCs w:val="21"/>
              </w:rPr>
              <w:t>名股东中存在回购专户的特别说明（如有）</w:t>
            </w:r>
          </w:p>
        </w:tc>
        <w:tc>
          <w:tcPr>
            <w:tcW w:w="474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adjustRightInd w:val="0"/>
              <w:snapToGrid w:val="0"/>
              <w:spacing w:before="0" w:after="0"/>
              <w:jc w:val="left"/>
              <w:rPr>
                <w:sz w:val="21"/>
                <w:szCs w:val="21"/>
              </w:rPr>
            </w:pPr>
            <w:r>
              <w:rPr>
                <w:color w:val="000000" w:themeColor="text1"/>
                <w:sz w:val="21"/>
                <w:szCs w:val="21"/>
              </w:rPr>
              <w:t>中百控股集团股份有限公司回购专用证券账户报告期末持股数量为</w:t>
            </w:r>
            <w:r>
              <w:rPr>
                <w:color w:val="000000" w:themeColor="text1"/>
                <w:sz w:val="21"/>
                <w:szCs w:val="21"/>
              </w:rPr>
              <w:t>24,992,014</w:t>
            </w:r>
            <w:r>
              <w:rPr>
                <w:color w:val="000000" w:themeColor="text1"/>
                <w:sz w:val="21"/>
                <w:szCs w:val="21"/>
              </w:rPr>
              <w:t>股，约占公司目前总股本的</w:t>
            </w:r>
            <w:r>
              <w:rPr>
                <w:color w:val="000000" w:themeColor="text1"/>
                <w:sz w:val="21"/>
                <w:szCs w:val="21"/>
              </w:rPr>
              <w:t>3.67%</w:t>
            </w:r>
            <w:r>
              <w:rPr>
                <w:color w:val="000000" w:themeColor="text1"/>
                <w:sz w:val="21"/>
                <w:szCs w:val="21"/>
              </w:rPr>
              <w:t>。</w:t>
            </w:r>
          </w:p>
        </w:tc>
      </w:tr>
      <w:tr w:rsidR="006645CA">
        <w:tc>
          <w:tcPr>
            <w:tcW w:w="4820"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6645CA" w:rsidRDefault="00B92874">
            <w:pPr>
              <w:jc w:val="left"/>
              <w:rPr>
                <w:sz w:val="21"/>
                <w:szCs w:val="21"/>
              </w:rPr>
            </w:pPr>
            <w:r>
              <w:rPr>
                <w:rFonts w:hint="eastAsia"/>
                <w:sz w:val="21"/>
                <w:szCs w:val="21"/>
              </w:rPr>
              <w:t>参与融资融券业务股东情况说明（如有）</w:t>
            </w:r>
          </w:p>
        </w:tc>
        <w:tc>
          <w:tcPr>
            <w:tcW w:w="474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645CA" w:rsidRDefault="00B92874">
            <w:pPr>
              <w:jc w:val="left"/>
              <w:rPr>
                <w:sz w:val="21"/>
                <w:szCs w:val="21"/>
              </w:rPr>
            </w:pPr>
            <w:r>
              <w:rPr>
                <w:rFonts w:hint="eastAsia"/>
                <w:sz w:val="21"/>
                <w:szCs w:val="21"/>
              </w:rPr>
              <w:t>不适用</w:t>
            </w:r>
          </w:p>
        </w:tc>
      </w:tr>
    </w:tbl>
    <w:p w:rsidR="006645CA" w:rsidRDefault="00B92874">
      <w:pPr>
        <w:pStyle w:val="Section"/>
        <w:keepNext w:val="0"/>
        <w:keepLines w:val="0"/>
        <w:spacing w:before="100" w:after="0" w:line="240" w:lineRule="auto"/>
        <w:outlineLvl w:val="2"/>
        <w:rPr>
          <w:b w:val="0"/>
          <w:sz w:val="24"/>
          <w:szCs w:val="24"/>
        </w:rPr>
      </w:pPr>
      <w:r>
        <w:rPr>
          <w:rFonts w:hint="eastAsia"/>
          <w:b w:val="0"/>
          <w:sz w:val="24"/>
          <w:szCs w:val="24"/>
        </w:rPr>
        <w:lastRenderedPageBreak/>
        <w:t>（</w:t>
      </w:r>
      <w:r>
        <w:rPr>
          <w:b w:val="0"/>
          <w:sz w:val="24"/>
          <w:szCs w:val="24"/>
        </w:rPr>
        <w:t>2</w:t>
      </w:r>
      <w:r>
        <w:rPr>
          <w:rFonts w:hint="eastAsia"/>
          <w:b w:val="0"/>
          <w:sz w:val="24"/>
          <w:szCs w:val="24"/>
        </w:rPr>
        <w:t>）公司优先股股东总数及前</w:t>
      </w:r>
      <w:r>
        <w:rPr>
          <w:b w:val="0"/>
          <w:sz w:val="24"/>
          <w:szCs w:val="24"/>
        </w:rPr>
        <w:t>10</w:t>
      </w:r>
      <w:r>
        <w:rPr>
          <w:rFonts w:hint="eastAsia"/>
          <w:b w:val="0"/>
          <w:sz w:val="24"/>
          <w:szCs w:val="24"/>
        </w:rPr>
        <w:t>名优先股股东持股情况表</w:t>
      </w:r>
    </w:p>
    <w:p w:rsidR="006645CA" w:rsidRDefault="00B92874">
      <w:pPr>
        <w:jc w:val="left"/>
        <w:rPr>
          <w:sz w:val="24"/>
          <w:szCs w:val="24"/>
        </w:rPr>
      </w:pPr>
      <w:r>
        <w:rPr>
          <w:sz w:val="24"/>
          <w:szCs w:val="24"/>
        </w:rPr>
        <w:t xml:space="preserve">□ </w:t>
      </w:r>
      <w:r>
        <w:rPr>
          <w:rFonts w:hint="eastAsia"/>
          <w:sz w:val="24"/>
          <w:szCs w:val="24"/>
        </w:rPr>
        <w:t>适用</w:t>
      </w:r>
      <w:r>
        <w:rPr>
          <w:sz w:val="24"/>
          <w:szCs w:val="24"/>
        </w:rPr>
        <w:t xml:space="preserve"> √ </w:t>
      </w:r>
      <w:r>
        <w:rPr>
          <w:rFonts w:hint="eastAsia"/>
          <w:sz w:val="24"/>
          <w:szCs w:val="24"/>
        </w:rPr>
        <w:t>不适用</w:t>
      </w:r>
      <w:r>
        <w:rPr>
          <w:sz w:val="24"/>
          <w:szCs w:val="24"/>
        </w:rPr>
        <w:t xml:space="preserve"> </w:t>
      </w:r>
    </w:p>
    <w:p w:rsidR="006645CA" w:rsidRDefault="00B92874">
      <w:pPr>
        <w:jc w:val="left"/>
        <w:rPr>
          <w:sz w:val="24"/>
          <w:szCs w:val="24"/>
        </w:rPr>
      </w:pPr>
      <w:r>
        <w:rPr>
          <w:rFonts w:hint="eastAsia"/>
          <w:sz w:val="24"/>
          <w:szCs w:val="24"/>
        </w:rPr>
        <w:t>公司报告期无优先股股东持股情况。</w:t>
      </w:r>
    </w:p>
    <w:p w:rsidR="006645CA" w:rsidRDefault="00B92874">
      <w:pPr>
        <w:pStyle w:val="Section"/>
        <w:keepNext w:val="0"/>
        <w:keepLines w:val="0"/>
        <w:spacing w:before="100" w:after="0" w:line="240" w:lineRule="auto"/>
        <w:outlineLvl w:val="2"/>
        <w:rPr>
          <w:b w:val="0"/>
          <w:sz w:val="24"/>
          <w:szCs w:val="24"/>
        </w:rPr>
      </w:pPr>
      <w:r>
        <w:rPr>
          <w:rFonts w:hint="eastAsia"/>
          <w:b w:val="0"/>
          <w:sz w:val="24"/>
          <w:szCs w:val="24"/>
        </w:rPr>
        <w:t>（</w:t>
      </w:r>
      <w:r>
        <w:rPr>
          <w:b w:val="0"/>
          <w:sz w:val="24"/>
          <w:szCs w:val="24"/>
        </w:rPr>
        <w:t>3</w:t>
      </w:r>
      <w:r>
        <w:rPr>
          <w:rFonts w:hint="eastAsia"/>
          <w:b w:val="0"/>
          <w:sz w:val="24"/>
          <w:szCs w:val="24"/>
        </w:rPr>
        <w:t>）以方框图形式披露公司与实际控制人之间的产权及控制关系</w:t>
      </w:r>
    </w:p>
    <w:p w:rsidR="006645CA" w:rsidRDefault="00B92874">
      <w:pPr>
        <w:autoSpaceDE w:val="0"/>
        <w:autoSpaceDN w:val="0"/>
        <w:adjustRightInd w:val="0"/>
        <w:spacing w:before="200" w:after="200"/>
        <w:jc w:val="center"/>
        <w:rPr>
          <w:rFonts w:eastAsiaTheme="minorEastAsia"/>
          <w:kern w:val="0"/>
          <w:sz w:val="24"/>
          <w:szCs w:val="24"/>
        </w:rPr>
      </w:pPr>
      <w:r>
        <w:rPr>
          <w:noProof/>
        </w:rPr>
        <w:drawing>
          <wp:inline distT="0" distB="0" distL="114300" distR="114300">
            <wp:extent cx="5772150" cy="3533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72150" cy="3533775"/>
                    </a:xfrm>
                    <a:prstGeom prst="rect">
                      <a:avLst/>
                    </a:prstGeom>
                    <a:noFill/>
                    <a:ln>
                      <a:noFill/>
                    </a:ln>
                  </pic:spPr>
                </pic:pic>
              </a:graphicData>
            </a:graphic>
          </wp:inline>
        </w:drawing>
      </w:r>
    </w:p>
    <w:p w:rsidR="006645CA" w:rsidRDefault="00B92874">
      <w:pPr>
        <w:pStyle w:val="Section"/>
        <w:keepNext w:val="0"/>
        <w:keepLines w:val="0"/>
        <w:spacing w:before="200" w:after="0" w:line="240" w:lineRule="auto"/>
        <w:outlineLvl w:val="2"/>
        <w:rPr>
          <w:b w:val="0"/>
          <w:sz w:val="24"/>
          <w:szCs w:val="24"/>
        </w:rPr>
      </w:pPr>
      <w:r>
        <w:rPr>
          <w:b w:val="0"/>
          <w:sz w:val="24"/>
          <w:szCs w:val="24"/>
        </w:rPr>
        <w:t>5</w:t>
      </w:r>
      <w:r>
        <w:rPr>
          <w:rFonts w:hint="eastAsia"/>
          <w:b w:val="0"/>
          <w:sz w:val="24"/>
          <w:szCs w:val="24"/>
        </w:rPr>
        <w:t>.</w:t>
      </w:r>
      <w:r>
        <w:rPr>
          <w:rFonts w:hint="eastAsia"/>
          <w:b w:val="0"/>
          <w:sz w:val="24"/>
          <w:szCs w:val="24"/>
        </w:rPr>
        <w:t>在年度报告批准报出日存续的债券情况</w:t>
      </w:r>
    </w:p>
    <w:p w:rsidR="006645CA" w:rsidRDefault="00B92874">
      <w:pPr>
        <w:jc w:val="left"/>
        <w:rPr>
          <w:sz w:val="24"/>
          <w:szCs w:val="24"/>
        </w:rPr>
      </w:pPr>
      <w:r>
        <w:rPr>
          <w:sz w:val="24"/>
          <w:szCs w:val="24"/>
        </w:rPr>
        <w:t xml:space="preserve">□ </w:t>
      </w:r>
      <w:r>
        <w:rPr>
          <w:rFonts w:hint="eastAsia"/>
          <w:sz w:val="24"/>
          <w:szCs w:val="24"/>
        </w:rPr>
        <w:t>适用</w:t>
      </w:r>
      <w:r>
        <w:rPr>
          <w:sz w:val="24"/>
          <w:szCs w:val="24"/>
        </w:rPr>
        <w:t xml:space="preserve"> √ </w:t>
      </w:r>
      <w:r>
        <w:rPr>
          <w:rFonts w:hint="eastAsia"/>
          <w:sz w:val="24"/>
          <w:szCs w:val="24"/>
        </w:rPr>
        <w:t>不适用</w:t>
      </w:r>
      <w:r>
        <w:rPr>
          <w:sz w:val="24"/>
          <w:szCs w:val="24"/>
        </w:rPr>
        <w:t xml:space="preserve"> </w:t>
      </w:r>
    </w:p>
    <w:p w:rsidR="006645CA" w:rsidRDefault="00B92874">
      <w:pPr>
        <w:pStyle w:val="Chapter"/>
        <w:keepNext w:val="0"/>
        <w:keepLines w:val="0"/>
        <w:spacing w:after="0" w:line="240" w:lineRule="auto"/>
        <w:outlineLvl w:val="1"/>
        <w:rPr>
          <w:rFonts w:ascii="黑体" w:eastAsia="黑体" w:hAnsi="黑体"/>
          <w:b w:val="0"/>
        </w:rPr>
      </w:pPr>
      <w:r>
        <w:rPr>
          <w:rFonts w:ascii="黑体" w:eastAsia="黑体" w:hAnsi="黑体" w:hint="eastAsia"/>
          <w:b w:val="0"/>
        </w:rPr>
        <w:t>三、重要事项</w:t>
      </w:r>
    </w:p>
    <w:p w:rsidR="006645CA" w:rsidRDefault="00475E9D">
      <w:pPr>
        <w:autoSpaceDE w:val="0"/>
        <w:autoSpaceDN w:val="0"/>
        <w:adjustRightInd w:val="0"/>
        <w:spacing w:before="0" w:after="0" w:line="400" w:lineRule="exact"/>
        <w:ind w:firstLineChars="200" w:firstLine="480"/>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1.</w:t>
      </w:r>
      <w:r w:rsidR="00B92874">
        <w:rPr>
          <w:rFonts w:asciiTheme="minorEastAsia" w:eastAsiaTheme="minorEastAsia" w:hAnsiTheme="minorEastAsia"/>
          <w:kern w:val="0"/>
          <w:sz w:val="24"/>
          <w:szCs w:val="24"/>
          <w:lang w:val="zh-CN"/>
        </w:rPr>
        <w:t>2021</w:t>
      </w:r>
      <w:r w:rsidR="00B92874">
        <w:rPr>
          <w:rFonts w:asciiTheme="minorEastAsia" w:eastAsiaTheme="minorEastAsia" w:hAnsiTheme="minorEastAsia" w:cs="宋体" w:hint="eastAsia"/>
          <w:kern w:val="0"/>
          <w:sz w:val="24"/>
          <w:szCs w:val="24"/>
          <w:lang w:val="zh-CN"/>
        </w:rPr>
        <w:t>年</w:t>
      </w:r>
      <w:r w:rsidR="00B92874">
        <w:rPr>
          <w:rFonts w:asciiTheme="minorEastAsia" w:eastAsiaTheme="minorEastAsia" w:hAnsiTheme="minorEastAsia"/>
          <w:kern w:val="0"/>
          <w:sz w:val="24"/>
          <w:szCs w:val="24"/>
          <w:lang w:val="zh-CN"/>
        </w:rPr>
        <w:t>1</w:t>
      </w:r>
      <w:r w:rsidR="00B92874">
        <w:rPr>
          <w:rFonts w:asciiTheme="minorEastAsia" w:eastAsiaTheme="minorEastAsia" w:hAnsiTheme="minorEastAsia" w:cs="宋体" w:hint="eastAsia"/>
          <w:kern w:val="0"/>
          <w:sz w:val="24"/>
          <w:szCs w:val="24"/>
          <w:lang w:val="zh-CN"/>
        </w:rPr>
        <w:t>月</w:t>
      </w:r>
      <w:r w:rsidR="00B92874">
        <w:rPr>
          <w:rFonts w:asciiTheme="minorEastAsia" w:eastAsiaTheme="minorEastAsia" w:hAnsiTheme="minorEastAsia"/>
          <w:kern w:val="0"/>
          <w:sz w:val="24"/>
          <w:szCs w:val="24"/>
          <w:lang w:val="zh-CN"/>
        </w:rPr>
        <w:t>22</w:t>
      </w:r>
      <w:r w:rsidR="00B92874">
        <w:rPr>
          <w:rFonts w:asciiTheme="minorEastAsia" w:eastAsiaTheme="minorEastAsia" w:hAnsiTheme="minorEastAsia" w:cs="宋体" w:hint="eastAsia"/>
          <w:kern w:val="0"/>
          <w:sz w:val="24"/>
          <w:szCs w:val="24"/>
          <w:lang w:val="zh-CN"/>
        </w:rPr>
        <w:t>日和</w:t>
      </w:r>
      <w:r w:rsidR="00B92874">
        <w:rPr>
          <w:rFonts w:asciiTheme="minorEastAsia" w:eastAsiaTheme="minorEastAsia" w:hAnsiTheme="minorEastAsia"/>
          <w:kern w:val="0"/>
          <w:sz w:val="24"/>
          <w:szCs w:val="24"/>
          <w:lang w:val="zh-CN"/>
        </w:rPr>
        <w:t>2</w:t>
      </w:r>
      <w:r w:rsidR="00B92874">
        <w:rPr>
          <w:rFonts w:asciiTheme="minorEastAsia" w:eastAsiaTheme="minorEastAsia" w:hAnsiTheme="minorEastAsia" w:cs="宋体" w:hint="eastAsia"/>
          <w:kern w:val="0"/>
          <w:sz w:val="24"/>
          <w:szCs w:val="24"/>
          <w:lang w:val="zh-CN"/>
        </w:rPr>
        <w:t>月</w:t>
      </w:r>
      <w:r w:rsidR="00B92874">
        <w:rPr>
          <w:rFonts w:asciiTheme="minorEastAsia" w:eastAsiaTheme="minorEastAsia" w:hAnsiTheme="minorEastAsia"/>
          <w:kern w:val="0"/>
          <w:sz w:val="24"/>
          <w:szCs w:val="24"/>
          <w:lang w:val="zh-CN"/>
        </w:rPr>
        <w:t>8</w:t>
      </w:r>
      <w:r w:rsidR="00B92874">
        <w:rPr>
          <w:rFonts w:asciiTheme="minorEastAsia" w:eastAsiaTheme="minorEastAsia" w:hAnsiTheme="minorEastAsia" w:cs="宋体" w:hint="eastAsia"/>
          <w:kern w:val="0"/>
          <w:sz w:val="24"/>
          <w:szCs w:val="24"/>
          <w:lang w:val="zh-CN"/>
        </w:rPr>
        <w:t>日，公司分别召开董事会和临时股东大会，审议通过了《关于受让产业基金持有的中百生鲜股权暨关联交易的议案》《关于中百超市受让产业基金持有的中百便利店股权暨关联交易的议案》，公司按该评估值以自有资金</w:t>
      </w:r>
      <w:r w:rsidR="00B92874">
        <w:rPr>
          <w:rFonts w:asciiTheme="minorEastAsia" w:eastAsiaTheme="minorEastAsia" w:hAnsiTheme="minorEastAsia"/>
          <w:kern w:val="0"/>
          <w:sz w:val="24"/>
          <w:szCs w:val="24"/>
          <w:lang w:val="zh-CN"/>
        </w:rPr>
        <w:t>17,131.53</w:t>
      </w:r>
      <w:r w:rsidR="00B92874">
        <w:rPr>
          <w:rFonts w:asciiTheme="minorEastAsia" w:eastAsiaTheme="minorEastAsia" w:hAnsiTheme="minorEastAsia" w:cs="宋体" w:hint="eastAsia"/>
          <w:kern w:val="0"/>
          <w:sz w:val="24"/>
          <w:szCs w:val="24"/>
          <w:lang w:val="zh-CN"/>
        </w:rPr>
        <w:t>万元人民币受让产业基金所持有的中百生鲜</w:t>
      </w:r>
      <w:r w:rsidR="00B92874">
        <w:rPr>
          <w:rFonts w:asciiTheme="minorEastAsia" w:eastAsiaTheme="minorEastAsia" w:hAnsiTheme="minorEastAsia"/>
          <w:kern w:val="0"/>
          <w:sz w:val="24"/>
          <w:szCs w:val="24"/>
          <w:lang w:val="zh-CN"/>
        </w:rPr>
        <w:t>49%</w:t>
      </w:r>
      <w:r w:rsidR="00B92874">
        <w:rPr>
          <w:rFonts w:asciiTheme="minorEastAsia" w:eastAsiaTheme="minorEastAsia" w:hAnsiTheme="minorEastAsia" w:cs="宋体" w:hint="eastAsia"/>
          <w:kern w:val="0"/>
          <w:sz w:val="24"/>
          <w:szCs w:val="24"/>
          <w:lang w:val="zh-CN"/>
        </w:rPr>
        <w:t>股权，股权转让完成后，中百生鲜成为公司全资子公司。中百超市按该评估值以自有资金</w:t>
      </w:r>
      <w:r w:rsidR="00B92874">
        <w:rPr>
          <w:rFonts w:asciiTheme="minorEastAsia" w:eastAsiaTheme="minorEastAsia" w:hAnsiTheme="minorEastAsia"/>
          <w:kern w:val="0"/>
          <w:sz w:val="24"/>
          <w:szCs w:val="24"/>
          <w:lang w:val="zh-CN"/>
        </w:rPr>
        <w:t>11,057.43</w:t>
      </w:r>
      <w:r w:rsidR="00B92874">
        <w:rPr>
          <w:rFonts w:asciiTheme="minorEastAsia" w:eastAsiaTheme="minorEastAsia" w:hAnsiTheme="minorEastAsia" w:cs="宋体" w:hint="eastAsia"/>
          <w:kern w:val="0"/>
          <w:sz w:val="24"/>
          <w:szCs w:val="24"/>
          <w:lang w:val="zh-CN"/>
        </w:rPr>
        <w:t>万元人民币受让产业基金所持有的中百便利店</w:t>
      </w:r>
      <w:r w:rsidR="00B92874">
        <w:rPr>
          <w:rFonts w:asciiTheme="minorEastAsia" w:eastAsiaTheme="minorEastAsia" w:hAnsiTheme="minorEastAsia"/>
          <w:kern w:val="0"/>
          <w:sz w:val="24"/>
          <w:szCs w:val="24"/>
          <w:lang w:val="zh-CN"/>
        </w:rPr>
        <w:t>29.22%</w:t>
      </w:r>
      <w:r w:rsidR="00B92874">
        <w:rPr>
          <w:rFonts w:asciiTheme="minorEastAsia" w:eastAsiaTheme="minorEastAsia" w:hAnsiTheme="minorEastAsia" w:cs="宋体" w:hint="eastAsia"/>
          <w:kern w:val="0"/>
          <w:sz w:val="24"/>
          <w:szCs w:val="24"/>
          <w:lang w:val="zh-CN"/>
        </w:rPr>
        <w:t>股权，股权转让完成后，中百超市持有中百便利店股份变为</w:t>
      </w:r>
      <w:r w:rsidR="00B92874">
        <w:rPr>
          <w:rFonts w:asciiTheme="minorEastAsia" w:eastAsiaTheme="minorEastAsia" w:hAnsiTheme="minorEastAsia"/>
          <w:kern w:val="0"/>
          <w:sz w:val="24"/>
          <w:szCs w:val="24"/>
          <w:lang w:val="zh-CN"/>
        </w:rPr>
        <w:t>94.97%</w:t>
      </w:r>
      <w:r w:rsidR="00B92874">
        <w:rPr>
          <w:rFonts w:asciiTheme="minorEastAsia" w:eastAsiaTheme="minorEastAsia" w:hAnsiTheme="minorEastAsia" w:cs="宋体" w:hint="eastAsia"/>
          <w:kern w:val="0"/>
          <w:sz w:val="24"/>
          <w:szCs w:val="24"/>
          <w:lang w:val="zh-CN"/>
        </w:rPr>
        <w:t>。（具体内容详见公司于</w:t>
      </w:r>
      <w:r w:rsidR="00B92874">
        <w:rPr>
          <w:rFonts w:asciiTheme="minorEastAsia" w:eastAsiaTheme="minorEastAsia" w:hAnsiTheme="minorEastAsia"/>
          <w:kern w:val="0"/>
          <w:sz w:val="24"/>
          <w:szCs w:val="24"/>
          <w:lang w:val="zh-CN"/>
        </w:rPr>
        <w:t>2021</w:t>
      </w:r>
      <w:r w:rsidR="00B92874">
        <w:rPr>
          <w:rFonts w:asciiTheme="minorEastAsia" w:eastAsiaTheme="minorEastAsia" w:hAnsiTheme="minorEastAsia" w:cs="宋体" w:hint="eastAsia"/>
          <w:kern w:val="0"/>
          <w:sz w:val="24"/>
          <w:szCs w:val="24"/>
          <w:lang w:val="zh-CN"/>
        </w:rPr>
        <w:t>年</w:t>
      </w:r>
      <w:r w:rsidR="00B92874">
        <w:rPr>
          <w:rFonts w:asciiTheme="minorEastAsia" w:eastAsiaTheme="minorEastAsia" w:hAnsiTheme="minorEastAsia"/>
          <w:kern w:val="0"/>
          <w:sz w:val="24"/>
          <w:szCs w:val="24"/>
          <w:lang w:val="zh-CN"/>
        </w:rPr>
        <w:t>1</w:t>
      </w:r>
      <w:r w:rsidR="00B92874">
        <w:rPr>
          <w:rFonts w:asciiTheme="minorEastAsia" w:eastAsiaTheme="minorEastAsia" w:hAnsiTheme="minorEastAsia" w:cs="宋体" w:hint="eastAsia"/>
          <w:kern w:val="0"/>
          <w:sz w:val="24"/>
          <w:szCs w:val="24"/>
          <w:lang w:val="zh-CN"/>
        </w:rPr>
        <w:t>月</w:t>
      </w:r>
      <w:r w:rsidR="00B92874">
        <w:rPr>
          <w:rFonts w:asciiTheme="minorEastAsia" w:eastAsiaTheme="minorEastAsia" w:hAnsiTheme="minorEastAsia"/>
          <w:kern w:val="0"/>
          <w:sz w:val="24"/>
          <w:szCs w:val="24"/>
          <w:lang w:val="zh-CN"/>
        </w:rPr>
        <w:t>23</w:t>
      </w:r>
      <w:r w:rsidR="00B92874">
        <w:rPr>
          <w:rFonts w:asciiTheme="minorEastAsia" w:eastAsiaTheme="minorEastAsia" w:hAnsiTheme="minorEastAsia" w:cs="宋体" w:hint="eastAsia"/>
          <w:kern w:val="0"/>
          <w:sz w:val="24"/>
          <w:szCs w:val="24"/>
          <w:lang w:val="zh-CN"/>
        </w:rPr>
        <w:t>日披露在巨潮资讯网的《</w:t>
      </w:r>
      <w:r w:rsidR="00B92874">
        <w:rPr>
          <w:rFonts w:asciiTheme="minorEastAsia" w:eastAsiaTheme="minorEastAsia" w:hAnsiTheme="minorEastAsia" w:hint="eastAsia"/>
          <w:sz w:val="24"/>
          <w:szCs w:val="24"/>
        </w:rPr>
        <w:t>关于受让产业基金持有的中百生鲜股份暨关联交易的公告</w:t>
      </w:r>
      <w:r w:rsidR="00B92874">
        <w:rPr>
          <w:rFonts w:asciiTheme="minorEastAsia" w:eastAsiaTheme="minorEastAsia" w:hAnsiTheme="minorEastAsia" w:cs="宋体" w:hint="eastAsia"/>
          <w:kern w:val="0"/>
          <w:sz w:val="24"/>
          <w:szCs w:val="24"/>
          <w:lang w:val="zh-CN"/>
        </w:rPr>
        <w:t>》公告编号：</w:t>
      </w:r>
      <w:r w:rsidR="00B92874">
        <w:rPr>
          <w:rFonts w:asciiTheme="minorEastAsia" w:eastAsiaTheme="minorEastAsia" w:hAnsiTheme="minorEastAsia"/>
          <w:kern w:val="0"/>
          <w:sz w:val="24"/>
          <w:szCs w:val="24"/>
          <w:lang w:val="zh-CN"/>
        </w:rPr>
        <w:t>2021-004</w:t>
      </w:r>
      <w:r w:rsidR="00B92874">
        <w:rPr>
          <w:rFonts w:asciiTheme="minorEastAsia" w:eastAsiaTheme="minorEastAsia" w:hAnsiTheme="minorEastAsia" w:cs="宋体" w:hint="eastAsia"/>
          <w:kern w:val="0"/>
          <w:sz w:val="24"/>
          <w:szCs w:val="24"/>
          <w:lang w:val="zh-CN"/>
        </w:rPr>
        <w:t>；《</w:t>
      </w:r>
      <w:r w:rsidR="00B92874">
        <w:rPr>
          <w:rFonts w:asciiTheme="minorEastAsia" w:eastAsiaTheme="minorEastAsia" w:hAnsiTheme="minorEastAsia" w:hint="eastAsia"/>
          <w:sz w:val="24"/>
          <w:szCs w:val="24"/>
        </w:rPr>
        <w:t>关于中百超市受让产业基金持有的中百便利店股份暨关联交易的公告</w:t>
      </w:r>
      <w:r w:rsidR="00B92874">
        <w:rPr>
          <w:rFonts w:asciiTheme="minorEastAsia" w:eastAsiaTheme="minorEastAsia" w:hAnsiTheme="minorEastAsia" w:cs="宋体" w:hint="eastAsia"/>
          <w:kern w:val="0"/>
          <w:sz w:val="24"/>
          <w:szCs w:val="24"/>
          <w:lang w:val="zh-CN"/>
        </w:rPr>
        <w:t>》公告编号：</w:t>
      </w:r>
      <w:r w:rsidR="00B92874">
        <w:rPr>
          <w:rFonts w:asciiTheme="minorEastAsia" w:eastAsiaTheme="minorEastAsia" w:hAnsiTheme="minorEastAsia"/>
          <w:kern w:val="0"/>
          <w:sz w:val="24"/>
          <w:szCs w:val="24"/>
          <w:lang w:val="zh-CN"/>
        </w:rPr>
        <w:t>2021-005</w:t>
      </w:r>
      <w:r w:rsidR="00B92874">
        <w:rPr>
          <w:rFonts w:asciiTheme="minorEastAsia" w:eastAsiaTheme="minorEastAsia" w:hAnsiTheme="minorEastAsia" w:hint="eastAsia"/>
          <w:kern w:val="0"/>
          <w:sz w:val="24"/>
          <w:szCs w:val="24"/>
          <w:lang w:val="zh-CN"/>
        </w:rPr>
        <w:t>）</w:t>
      </w:r>
    </w:p>
    <w:p w:rsidR="006645CA" w:rsidRDefault="00B92874">
      <w:pPr>
        <w:autoSpaceDE w:val="0"/>
        <w:autoSpaceDN w:val="0"/>
        <w:adjustRightInd w:val="0"/>
        <w:spacing w:before="0" w:after="0" w:line="400" w:lineRule="exact"/>
        <w:ind w:firstLineChars="200" w:firstLine="480"/>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2.2021</w:t>
      </w:r>
      <w:r>
        <w:rPr>
          <w:rFonts w:asciiTheme="minorEastAsia" w:eastAsiaTheme="minorEastAsia" w:hAnsiTheme="minorEastAsia" w:cs="宋体" w:hint="eastAsia"/>
          <w:kern w:val="0"/>
          <w:sz w:val="24"/>
          <w:szCs w:val="24"/>
          <w:lang w:val="zh-CN"/>
        </w:rPr>
        <w:t>年</w:t>
      </w:r>
      <w:r>
        <w:rPr>
          <w:rFonts w:asciiTheme="minorEastAsia" w:eastAsiaTheme="minorEastAsia" w:hAnsiTheme="minorEastAsia"/>
          <w:kern w:val="0"/>
          <w:sz w:val="24"/>
          <w:szCs w:val="24"/>
          <w:lang w:val="zh-CN"/>
        </w:rPr>
        <w:t>3</w:t>
      </w:r>
      <w:r>
        <w:rPr>
          <w:rFonts w:asciiTheme="minorEastAsia" w:eastAsiaTheme="minorEastAsia" w:hAnsiTheme="minorEastAsia" w:cs="宋体" w:hint="eastAsia"/>
          <w:kern w:val="0"/>
          <w:sz w:val="24"/>
          <w:szCs w:val="24"/>
          <w:lang w:val="zh-CN"/>
        </w:rPr>
        <w:t>月</w:t>
      </w:r>
      <w:r>
        <w:rPr>
          <w:rFonts w:asciiTheme="minorEastAsia" w:eastAsiaTheme="minorEastAsia" w:hAnsiTheme="minorEastAsia"/>
          <w:kern w:val="0"/>
          <w:sz w:val="24"/>
          <w:szCs w:val="24"/>
          <w:lang w:val="zh-CN"/>
        </w:rPr>
        <w:t>5</w:t>
      </w:r>
      <w:r>
        <w:rPr>
          <w:rFonts w:asciiTheme="minorEastAsia" w:eastAsiaTheme="minorEastAsia" w:hAnsiTheme="minorEastAsia" w:cs="宋体" w:hint="eastAsia"/>
          <w:kern w:val="0"/>
          <w:sz w:val="24"/>
          <w:szCs w:val="24"/>
          <w:lang w:val="zh-CN"/>
        </w:rPr>
        <w:t>日，公司分别召开了第九届董事第二十八次会议及第九届监事会第十六次会议，审议通过了《关于公司董事会换届暨选举第十届董事会非独立董事候选人的议案》《关于公司董事会换届暨选举第十届董事会独立董事候选人的议案》《关于公司监事会换届暨选举第十届监事会非职工监事的议案》。</w:t>
      </w:r>
      <w:r>
        <w:rPr>
          <w:rFonts w:asciiTheme="minorEastAsia" w:eastAsiaTheme="minorEastAsia" w:hAnsiTheme="minorEastAsia"/>
          <w:kern w:val="0"/>
          <w:sz w:val="24"/>
          <w:szCs w:val="24"/>
          <w:lang w:val="zh-CN"/>
        </w:rPr>
        <w:t>3</w:t>
      </w:r>
      <w:r>
        <w:rPr>
          <w:rFonts w:asciiTheme="minorEastAsia" w:eastAsiaTheme="minorEastAsia" w:hAnsiTheme="minorEastAsia" w:cs="宋体" w:hint="eastAsia"/>
          <w:kern w:val="0"/>
          <w:sz w:val="24"/>
          <w:szCs w:val="24"/>
          <w:lang w:val="zh-CN"/>
        </w:rPr>
        <w:t>月</w:t>
      </w:r>
      <w:r>
        <w:rPr>
          <w:rFonts w:asciiTheme="minorEastAsia" w:eastAsiaTheme="minorEastAsia" w:hAnsiTheme="minorEastAsia"/>
          <w:kern w:val="0"/>
          <w:sz w:val="24"/>
          <w:szCs w:val="24"/>
          <w:lang w:val="zh-CN"/>
        </w:rPr>
        <w:t>25</w:t>
      </w:r>
      <w:r>
        <w:rPr>
          <w:rFonts w:asciiTheme="minorEastAsia" w:eastAsiaTheme="minorEastAsia" w:hAnsiTheme="minorEastAsia" w:cs="宋体" w:hint="eastAsia"/>
          <w:kern w:val="0"/>
          <w:sz w:val="24"/>
          <w:szCs w:val="24"/>
          <w:lang w:val="zh-CN"/>
        </w:rPr>
        <w:t>日，公司组织召开了</w:t>
      </w:r>
      <w:r>
        <w:rPr>
          <w:rFonts w:asciiTheme="minorEastAsia" w:eastAsiaTheme="minorEastAsia" w:hAnsiTheme="minorEastAsia"/>
          <w:kern w:val="0"/>
          <w:sz w:val="24"/>
          <w:szCs w:val="24"/>
          <w:lang w:val="zh-CN"/>
        </w:rPr>
        <w:t>2021</w:t>
      </w:r>
      <w:r>
        <w:rPr>
          <w:rFonts w:asciiTheme="minorEastAsia" w:eastAsiaTheme="minorEastAsia" w:hAnsiTheme="minorEastAsia" w:cs="宋体" w:hint="eastAsia"/>
          <w:kern w:val="0"/>
          <w:sz w:val="24"/>
          <w:szCs w:val="24"/>
          <w:lang w:val="zh-CN"/>
        </w:rPr>
        <w:t>年第二次临时股东大会</w:t>
      </w:r>
      <w:r>
        <w:rPr>
          <w:rFonts w:asciiTheme="minorEastAsia" w:eastAsiaTheme="minorEastAsia" w:hAnsiTheme="minorEastAsia" w:cs="宋体" w:hint="eastAsia"/>
          <w:kern w:val="0"/>
          <w:sz w:val="24"/>
          <w:szCs w:val="24"/>
          <w:lang w:val="zh-CN"/>
        </w:rPr>
        <w:lastRenderedPageBreak/>
        <w:t>审议通过了以上议案，会议选举产生的董事、监事与公司第二十一届第一次职工代表大会选举产生的职工董事、职工监事一起组成公司第十届董事会、监事会，任期三年，公司换届选举工作完成。（具体内容详见公司于</w:t>
      </w:r>
      <w:r>
        <w:rPr>
          <w:rFonts w:asciiTheme="minorEastAsia" w:eastAsiaTheme="minorEastAsia" w:hAnsiTheme="minorEastAsia"/>
          <w:kern w:val="0"/>
          <w:sz w:val="24"/>
          <w:szCs w:val="24"/>
          <w:lang w:val="zh-CN"/>
        </w:rPr>
        <w:t>2021</w:t>
      </w:r>
      <w:r>
        <w:rPr>
          <w:rFonts w:asciiTheme="minorEastAsia" w:eastAsiaTheme="minorEastAsia" w:hAnsiTheme="minorEastAsia" w:cs="宋体" w:hint="eastAsia"/>
          <w:kern w:val="0"/>
          <w:sz w:val="24"/>
          <w:szCs w:val="24"/>
          <w:lang w:val="zh-CN"/>
        </w:rPr>
        <w:t>年</w:t>
      </w:r>
      <w:r>
        <w:rPr>
          <w:rFonts w:asciiTheme="minorEastAsia" w:eastAsiaTheme="minorEastAsia" w:hAnsiTheme="minorEastAsia"/>
          <w:kern w:val="0"/>
          <w:sz w:val="24"/>
          <w:szCs w:val="24"/>
          <w:lang w:val="zh-CN"/>
        </w:rPr>
        <w:t>3</w:t>
      </w:r>
      <w:r>
        <w:rPr>
          <w:rFonts w:asciiTheme="minorEastAsia" w:eastAsiaTheme="minorEastAsia" w:hAnsiTheme="minorEastAsia" w:cs="宋体" w:hint="eastAsia"/>
          <w:kern w:val="0"/>
          <w:sz w:val="24"/>
          <w:szCs w:val="24"/>
          <w:lang w:val="zh-CN"/>
        </w:rPr>
        <w:t>月</w:t>
      </w:r>
      <w:r>
        <w:rPr>
          <w:rFonts w:asciiTheme="minorEastAsia" w:eastAsiaTheme="minorEastAsia" w:hAnsiTheme="minorEastAsia"/>
          <w:kern w:val="0"/>
          <w:sz w:val="24"/>
          <w:szCs w:val="24"/>
          <w:lang w:val="zh-CN"/>
        </w:rPr>
        <w:t>26</w:t>
      </w:r>
      <w:r>
        <w:rPr>
          <w:rFonts w:asciiTheme="minorEastAsia" w:eastAsiaTheme="minorEastAsia" w:hAnsiTheme="minorEastAsia" w:cs="宋体" w:hint="eastAsia"/>
          <w:kern w:val="0"/>
          <w:sz w:val="24"/>
          <w:szCs w:val="24"/>
          <w:lang w:val="zh-CN"/>
        </w:rPr>
        <w:t>日披露在巨潮资讯网的《中百控股集团股份有限公司</w:t>
      </w:r>
      <w:r>
        <w:rPr>
          <w:rFonts w:asciiTheme="minorEastAsia" w:eastAsiaTheme="minorEastAsia" w:hAnsiTheme="minorEastAsia"/>
          <w:kern w:val="0"/>
          <w:sz w:val="24"/>
          <w:szCs w:val="24"/>
          <w:lang w:val="zh-CN"/>
        </w:rPr>
        <w:t>2021</w:t>
      </w:r>
      <w:r>
        <w:rPr>
          <w:rFonts w:asciiTheme="minorEastAsia" w:eastAsiaTheme="minorEastAsia" w:hAnsiTheme="minorEastAsia" w:cs="宋体" w:hint="eastAsia"/>
          <w:kern w:val="0"/>
          <w:sz w:val="24"/>
          <w:szCs w:val="24"/>
          <w:lang w:val="zh-CN"/>
        </w:rPr>
        <w:t>年第二次临时股东大会决议公告》公告编号</w:t>
      </w:r>
      <w:r>
        <w:rPr>
          <w:rFonts w:asciiTheme="minorEastAsia" w:eastAsiaTheme="minorEastAsia" w:hAnsiTheme="minorEastAsia"/>
          <w:kern w:val="0"/>
          <w:sz w:val="24"/>
          <w:szCs w:val="24"/>
          <w:lang w:val="zh-CN"/>
        </w:rPr>
        <w:t>2021-033</w:t>
      </w:r>
      <w:r>
        <w:rPr>
          <w:rFonts w:asciiTheme="minorEastAsia" w:eastAsiaTheme="minorEastAsia" w:hAnsiTheme="minorEastAsia" w:cs="宋体" w:hint="eastAsia"/>
          <w:kern w:val="0"/>
          <w:sz w:val="24"/>
          <w:szCs w:val="24"/>
          <w:lang w:val="zh-CN"/>
        </w:rPr>
        <w:t>）</w:t>
      </w:r>
    </w:p>
    <w:p w:rsidR="006645CA" w:rsidRDefault="00B92874">
      <w:pPr>
        <w:autoSpaceDE w:val="0"/>
        <w:autoSpaceDN w:val="0"/>
        <w:adjustRightInd w:val="0"/>
        <w:spacing w:before="0" w:after="0" w:line="400" w:lineRule="exact"/>
        <w:ind w:firstLineChars="200" w:firstLine="480"/>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3.</w:t>
      </w:r>
      <w:r>
        <w:rPr>
          <w:rFonts w:asciiTheme="minorEastAsia" w:eastAsiaTheme="minorEastAsia" w:hAnsiTheme="minorEastAsia" w:cs="宋体" w:hint="eastAsia"/>
          <w:kern w:val="0"/>
          <w:sz w:val="24"/>
          <w:szCs w:val="24"/>
          <w:lang w:val="zh-CN"/>
        </w:rPr>
        <w:t>为优化公司管理架构、降低管理成本、提高公司运营效率，公司全资子公司中百仓储超市有限公司拟吸收合并公司全资子公司中百超市有限公司。吸收合并完成后，中百仓储存续经营，中百超市全部资产、负债、权益、业务及人员由中百仓储承继，中百超市依法注销独立法人资格。中百仓储同时经营</w:t>
      </w:r>
      <w:r>
        <w:rPr>
          <w:rFonts w:asciiTheme="minorEastAsia" w:eastAsiaTheme="minorEastAsia" w:hAnsiTheme="minorEastAsia"/>
          <w:kern w:val="0"/>
          <w:sz w:val="24"/>
          <w:szCs w:val="24"/>
          <w:lang w:val="zh-CN"/>
        </w:rPr>
        <w:t>“</w:t>
      </w:r>
      <w:r>
        <w:rPr>
          <w:rFonts w:asciiTheme="minorEastAsia" w:eastAsiaTheme="minorEastAsia" w:hAnsiTheme="minorEastAsia" w:cs="宋体" w:hint="eastAsia"/>
          <w:kern w:val="0"/>
          <w:sz w:val="24"/>
          <w:szCs w:val="24"/>
          <w:lang w:val="zh-CN"/>
        </w:rPr>
        <w:t>中百仓储</w:t>
      </w:r>
      <w:r>
        <w:rPr>
          <w:rFonts w:asciiTheme="minorEastAsia" w:eastAsiaTheme="minorEastAsia" w:hAnsiTheme="minorEastAsia"/>
          <w:kern w:val="0"/>
          <w:sz w:val="24"/>
          <w:szCs w:val="24"/>
          <w:lang w:val="zh-CN"/>
        </w:rPr>
        <w:t>”“</w:t>
      </w:r>
      <w:r>
        <w:rPr>
          <w:rFonts w:asciiTheme="minorEastAsia" w:eastAsiaTheme="minorEastAsia" w:hAnsiTheme="minorEastAsia" w:cs="宋体" w:hint="eastAsia"/>
          <w:kern w:val="0"/>
          <w:sz w:val="24"/>
          <w:szCs w:val="24"/>
          <w:lang w:val="zh-CN"/>
        </w:rPr>
        <w:t>中百超市</w:t>
      </w:r>
      <w:r>
        <w:rPr>
          <w:rFonts w:asciiTheme="minorEastAsia" w:eastAsiaTheme="minorEastAsia" w:hAnsiTheme="minorEastAsia"/>
          <w:kern w:val="0"/>
          <w:sz w:val="24"/>
          <w:szCs w:val="24"/>
          <w:lang w:val="zh-CN"/>
        </w:rPr>
        <w:t>”</w:t>
      </w:r>
      <w:r>
        <w:rPr>
          <w:rFonts w:asciiTheme="minorEastAsia" w:eastAsiaTheme="minorEastAsia" w:hAnsiTheme="minorEastAsia" w:cs="宋体" w:hint="eastAsia"/>
          <w:kern w:val="0"/>
          <w:sz w:val="24"/>
          <w:szCs w:val="24"/>
          <w:lang w:val="zh-CN"/>
        </w:rPr>
        <w:t>两种业态。本次两家全资子公司吸收合并，有利于公司优化资源配置、降低管理成本、提高整体运营效率，符合公司发展需要。由于中百仓储、中百超市均为公司的全资子公司，其财务报表已纳入公司合并报表范围内，本次吸收合并不会对公司的正常经营和财务状况产生实质性的影响，不会损害公司及任何股东的利益。（具体内容详见公司于</w:t>
      </w:r>
      <w:r>
        <w:rPr>
          <w:rFonts w:asciiTheme="minorEastAsia" w:eastAsiaTheme="minorEastAsia" w:hAnsiTheme="minorEastAsia"/>
          <w:kern w:val="0"/>
          <w:sz w:val="24"/>
          <w:szCs w:val="24"/>
          <w:lang w:val="zh-CN"/>
        </w:rPr>
        <w:t>2021</w:t>
      </w:r>
      <w:r>
        <w:rPr>
          <w:rFonts w:asciiTheme="minorEastAsia" w:eastAsiaTheme="minorEastAsia" w:hAnsiTheme="minorEastAsia" w:cs="宋体" w:hint="eastAsia"/>
          <w:kern w:val="0"/>
          <w:sz w:val="24"/>
          <w:szCs w:val="24"/>
          <w:lang w:val="zh-CN"/>
        </w:rPr>
        <w:t>年</w:t>
      </w:r>
      <w:r>
        <w:rPr>
          <w:rFonts w:asciiTheme="minorEastAsia" w:eastAsiaTheme="minorEastAsia" w:hAnsiTheme="minorEastAsia"/>
          <w:kern w:val="0"/>
          <w:sz w:val="24"/>
          <w:szCs w:val="24"/>
          <w:lang w:val="zh-CN"/>
        </w:rPr>
        <w:t>6</w:t>
      </w:r>
      <w:r>
        <w:rPr>
          <w:rFonts w:asciiTheme="minorEastAsia" w:eastAsiaTheme="minorEastAsia" w:hAnsiTheme="minorEastAsia" w:cs="宋体" w:hint="eastAsia"/>
          <w:kern w:val="0"/>
          <w:sz w:val="24"/>
          <w:szCs w:val="24"/>
          <w:lang w:val="zh-CN"/>
        </w:rPr>
        <w:t>月</w:t>
      </w:r>
      <w:r>
        <w:rPr>
          <w:rFonts w:asciiTheme="minorEastAsia" w:eastAsiaTheme="minorEastAsia" w:hAnsiTheme="minorEastAsia"/>
          <w:kern w:val="0"/>
          <w:sz w:val="24"/>
          <w:szCs w:val="24"/>
          <w:lang w:val="zh-CN"/>
        </w:rPr>
        <w:t>2</w:t>
      </w:r>
      <w:r>
        <w:rPr>
          <w:rFonts w:asciiTheme="minorEastAsia" w:eastAsiaTheme="minorEastAsia" w:hAnsiTheme="minorEastAsia" w:cs="宋体" w:hint="eastAsia"/>
          <w:kern w:val="0"/>
          <w:sz w:val="24"/>
          <w:szCs w:val="24"/>
          <w:lang w:val="zh-CN"/>
        </w:rPr>
        <w:t>日披露在巨潮资讯网的《关于全资子公司之间吸收合并的公告》公告编号：</w:t>
      </w:r>
      <w:r>
        <w:rPr>
          <w:rFonts w:asciiTheme="minorEastAsia" w:eastAsiaTheme="minorEastAsia" w:hAnsiTheme="minorEastAsia"/>
          <w:kern w:val="0"/>
          <w:sz w:val="24"/>
          <w:szCs w:val="24"/>
          <w:lang w:val="zh-CN"/>
        </w:rPr>
        <w:t>2021-046</w:t>
      </w:r>
      <w:r>
        <w:rPr>
          <w:rFonts w:asciiTheme="minorEastAsia" w:eastAsiaTheme="minorEastAsia" w:hAnsiTheme="minorEastAsia" w:cs="宋体" w:hint="eastAsia"/>
          <w:kern w:val="0"/>
          <w:sz w:val="24"/>
          <w:szCs w:val="24"/>
          <w:lang w:val="zh-CN"/>
        </w:rPr>
        <w:t>）</w:t>
      </w:r>
    </w:p>
    <w:p w:rsidR="006645CA" w:rsidRDefault="00B92874">
      <w:pPr>
        <w:autoSpaceDE w:val="0"/>
        <w:autoSpaceDN w:val="0"/>
        <w:adjustRightInd w:val="0"/>
        <w:spacing w:before="0" w:after="0" w:line="400" w:lineRule="exact"/>
        <w:ind w:firstLineChars="200" w:firstLine="480"/>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4.</w:t>
      </w:r>
      <w:r>
        <w:rPr>
          <w:rFonts w:asciiTheme="minorEastAsia" w:eastAsiaTheme="minorEastAsia" w:hAnsiTheme="minorEastAsia" w:cs="宋体" w:hint="eastAsia"/>
          <w:kern w:val="0"/>
          <w:sz w:val="24"/>
          <w:szCs w:val="24"/>
          <w:lang w:val="zh-CN"/>
        </w:rPr>
        <w:t>为加快推进公司数字化转型与线上线下融合发展，提升市场竞争力，公司以自有资金</w:t>
      </w:r>
      <w:r>
        <w:rPr>
          <w:rFonts w:asciiTheme="minorEastAsia" w:eastAsiaTheme="minorEastAsia" w:hAnsiTheme="minorEastAsia"/>
          <w:kern w:val="0"/>
          <w:sz w:val="24"/>
          <w:szCs w:val="24"/>
          <w:lang w:val="zh-CN"/>
        </w:rPr>
        <w:t xml:space="preserve">10,000 </w:t>
      </w:r>
      <w:r>
        <w:rPr>
          <w:rFonts w:asciiTheme="minorEastAsia" w:eastAsiaTheme="minorEastAsia" w:hAnsiTheme="minorEastAsia" w:cs="宋体" w:hint="eastAsia"/>
          <w:kern w:val="0"/>
          <w:sz w:val="24"/>
          <w:szCs w:val="24"/>
          <w:lang w:val="zh-CN"/>
        </w:rPr>
        <w:t>万元人民币投资设立全资子公司武汉数智云科技有限公司。本次投资资金来源为公司自有资金，不会对公司财务及经营状况产生不利影响，不存在损害公司及全体股东特别是中小股东利益的情形。本次投资完成后，全资子公司将纳入公司合并财务报表范围，其运营情况将对公司未来财务状况带来一定影响。（具体内容详见公司于</w:t>
      </w:r>
      <w:r>
        <w:rPr>
          <w:rFonts w:asciiTheme="minorEastAsia" w:eastAsiaTheme="minorEastAsia" w:hAnsiTheme="minorEastAsia"/>
          <w:kern w:val="0"/>
          <w:sz w:val="24"/>
          <w:szCs w:val="24"/>
          <w:lang w:val="zh-CN"/>
        </w:rPr>
        <w:t>2021</w:t>
      </w:r>
      <w:r>
        <w:rPr>
          <w:rFonts w:asciiTheme="minorEastAsia" w:eastAsiaTheme="minorEastAsia" w:hAnsiTheme="minorEastAsia" w:cs="宋体" w:hint="eastAsia"/>
          <w:kern w:val="0"/>
          <w:sz w:val="24"/>
          <w:szCs w:val="24"/>
          <w:lang w:val="zh-CN"/>
        </w:rPr>
        <w:t>年</w:t>
      </w:r>
      <w:r>
        <w:rPr>
          <w:rFonts w:asciiTheme="minorEastAsia" w:eastAsiaTheme="minorEastAsia" w:hAnsiTheme="minorEastAsia"/>
          <w:kern w:val="0"/>
          <w:sz w:val="24"/>
          <w:szCs w:val="24"/>
          <w:lang w:val="zh-CN"/>
        </w:rPr>
        <w:t>6</w:t>
      </w:r>
      <w:r>
        <w:rPr>
          <w:rFonts w:asciiTheme="minorEastAsia" w:eastAsiaTheme="minorEastAsia" w:hAnsiTheme="minorEastAsia" w:cs="宋体" w:hint="eastAsia"/>
          <w:kern w:val="0"/>
          <w:sz w:val="24"/>
          <w:szCs w:val="24"/>
          <w:lang w:val="zh-CN"/>
        </w:rPr>
        <w:t>月</w:t>
      </w:r>
      <w:r>
        <w:rPr>
          <w:rFonts w:asciiTheme="minorEastAsia" w:eastAsiaTheme="minorEastAsia" w:hAnsiTheme="minorEastAsia"/>
          <w:kern w:val="0"/>
          <w:sz w:val="24"/>
          <w:szCs w:val="24"/>
          <w:lang w:val="zh-CN"/>
        </w:rPr>
        <w:t>2</w:t>
      </w:r>
      <w:r>
        <w:rPr>
          <w:rFonts w:asciiTheme="minorEastAsia" w:eastAsiaTheme="minorEastAsia" w:hAnsiTheme="minorEastAsia" w:cs="宋体" w:hint="eastAsia"/>
          <w:kern w:val="0"/>
          <w:sz w:val="24"/>
          <w:szCs w:val="24"/>
          <w:lang w:val="zh-CN"/>
        </w:rPr>
        <w:t>日披露在巨潮资讯网的《关于投资设立全资子公司的公告》公告编号：</w:t>
      </w:r>
      <w:r>
        <w:rPr>
          <w:rFonts w:asciiTheme="minorEastAsia" w:eastAsiaTheme="minorEastAsia" w:hAnsiTheme="minorEastAsia"/>
          <w:kern w:val="0"/>
          <w:sz w:val="24"/>
          <w:szCs w:val="24"/>
          <w:lang w:val="zh-CN"/>
        </w:rPr>
        <w:t>2021-047</w:t>
      </w:r>
      <w:r>
        <w:rPr>
          <w:rFonts w:asciiTheme="minorEastAsia" w:eastAsiaTheme="minorEastAsia" w:hAnsiTheme="minorEastAsia" w:cs="宋体" w:hint="eastAsia"/>
          <w:kern w:val="0"/>
          <w:sz w:val="24"/>
          <w:szCs w:val="24"/>
          <w:lang w:val="zh-CN"/>
        </w:rPr>
        <w:t>）</w:t>
      </w:r>
    </w:p>
    <w:p w:rsidR="006645CA" w:rsidRDefault="006645CA">
      <w:pPr>
        <w:autoSpaceDE w:val="0"/>
        <w:autoSpaceDN w:val="0"/>
        <w:adjustRightInd w:val="0"/>
        <w:spacing w:before="0" w:after="0" w:line="400" w:lineRule="exact"/>
        <w:jc w:val="left"/>
        <w:rPr>
          <w:rFonts w:eastAsiaTheme="minorEastAsia"/>
          <w:kern w:val="0"/>
          <w:sz w:val="24"/>
          <w:szCs w:val="24"/>
          <w:lang w:val="zh-CN"/>
        </w:rPr>
      </w:pPr>
    </w:p>
    <w:p w:rsidR="006645CA" w:rsidRDefault="006645CA">
      <w:pPr>
        <w:autoSpaceDE w:val="0"/>
        <w:autoSpaceDN w:val="0"/>
        <w:adjustRightInd w:val="0"/>
        <w:spacing w:before="0" w:after="0" w:line="400" w:lineRule="exact"/>
        <w:jc w:val="left"/>
        <w:rPr>
          <w:rFonts w:eastAsiaTheme="minorEastAsia"/>
          <w:kern w:val="0"/>
          <w:sz w:val="24"/>
          <w:szCs w:val="24"/>
          <w:lang w:val="zh-CN"/>
        </w:rPr>
      </w:pPr>
    </w:p>
    <w:p w:rsidR="006645CA" w:rsidRDefault="006645CA">
      <w:pPr>
        <w:autoSpaceDE w:val="0"/>
        <w:autoSpaceDN w:val="0"/>
        <w:adjustRightInd w:val="0"/>
        <w:spacing w:before="0" w:after="0" w:line="400" w:lineRule="exact"/>
        <w:jc w:val="left"/>
        <w:rPr>
          <w:rFonts w:eastAsiaTheme="minorEastAsia"/>
          <w:kern w:val="0"/>
          <w:sz w:val="24"/>
          <w:szCs w:val="24"/>
          <w:lang w:val="zh-CN"/>
        </w:rPr>
      </w:pPr>
    </w:p>
    <w:p w:rsidR="006645CA" w:rsidRDefault="00B92874">
      <w:pPr>
        <w:adjustRightInd w:val="0"/>
        <w:snapToGrid w:val="0"/>
        <w:spacing w:line="400" w:lineRule="exact"/>
        <w:ind w:firstLineChars="250" w:firstLine="600"/>
        <w:jc w:val="right"/>
        <w:rPr>
          <w:rFonts w:ascii="宋体"/>
          <w:color w:val="000000"/>
          <w:sz w:val="24"/>
          <w:szCs w:val="24"/>
        </w:rPr>
      </w:pPr>
      <w:r>
        <w:rPr>
          <w:rFonts w:ascii="宋体" w:hAnsi="宋体" w:hint="eastAsia"/>
          <w:color w:val="000000"/>
          <w:sz w:val="24"/>
          <w:szCs w:val="24"/>
        </w:rPr>
        <w:t>中百控股集团股份有限公司董事会</w:t>
      </w:r>
    </w:p>
    <w:p w:rsidR="006645CA" w:rsidRDefault="00B92874">
      <w:pPr>
        <w:adjustRightInd w:val="0"/>
        <w:snapToGrid w:val="0"/>
        <w:spacing w:line="400" w:lineRule="exact"/>
        <w:ind w:right="480" w:firstLineChars="250" w:firstLine="600"/>
        <w:jc w:val="center"/>
        <w:rPr>
          <w:rFonts w:asci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董事长：李军</w:t>
      </w:r>
    </w:p>
    <w:p w:rsidR="006645CA" w:rsidRDefault="00B92874">
      <w:pPr>
        <w:adjustRightInd w:val="0"/>
        <w:snapToGrid w:val="0"/>
        <w:spacing w:line="400" w:lineRule="exact"/>
        <w:ind w:right="840" w:firstLineChars="250" w:firstLine="600"/>
        <w:jc w:val="right"/>
        <w:rPr>
          <w:rFonts w:ascii="宋体"/>
          <w:color w:val="000000"/>
          <w:sz w:val="24"/>
          <w:szCs w:val="24"/>
        </w:rPr>
      </w:pPr>
      <w:r>
        <w:rPr>
          <w:color w:val="000000"/>
          <w:kern w:val="0"/>
          <w:sz w:val="24"/>
        </w:rPr>
        <w:t>2022</w:t>
      </w:r>
      <w:r>
        <w:rPr>
          <w:rFonts w:hint="eastAsia"/>
          <w:color w:val="000000"/>
          <w:kern w:val="0"/>
          <w:sz w:val="24"/>
        </w:rPr>
        <w:t>年</w:t>
      </w:r>
      <w:r>
        <w:rPr>
          <w:color w:val="000000"/>
          <w:kern w:val="0"/>
          <w:sz w:val="24"/>
        </w:rPr>
        <w:t>3</w:t>
      </w:r>
      <w:r>
        <w:rPr>
          <w:rFonts w:hint="eastAsia"/>
          <w:color w:val="000000"/>
          <w:kern w:val="0"/>
          <w:sz w:val="24"/>
        </w:rPr>
        <w:t>月</w:t>
      </w:r>
      <w:r>
        <w:rPr>
          <w:color w:val="000000"/>
          <w:kern w:val="0"/>
          <w:sz w:val="24"/>
        </w:rPr>
        <w:t>2</w:t>
      </w:r>
      <w:r>
        <w:rPr>
          <w:rFonts w:hint="eastAsia"/>
          <w:color w:val="000000"/>
          <w:kern w:val="0"/>
          <w:sz w:val="24"/>
        </w:rPr>
        <w:t>6</w:t>
      </w:r>
      <w:r>
        <w:rPr>
          <w:rFonts w:hint="eastAsia"/>
          <w:color w:val="000000"/>
          <w:kern w:val="0"/>
          <w:sz w:val="24"/>
        </w:rPr>
        <w:t>日</w:t>
      </w:r>
    </w:p>
    <w:p w:rsidR="006645CA" w:rsidRDefault="006645CA">
      <w:pPr>
        <w:autoSpaceDE w:val="0"/>
        <w:autoSpaceDN w:val="0"/>
        <w:adjustRightInd w:val="0"/>
        <w:spacing w:before="0" w:after="0" w:line="400" w:lineRule="exact"/>
        <w:jc w:val="left"/>
        <w:rPr>
          <w:rFonts w:eastAsiaTheme="minorEastAsia"/>
          <w:kern w:val="0"/>
          <w:sz w:val="24"/>
          <w:szCs w:val="24"/>
          <w:lang w:val="zh-CN"/>
        </w:rPr>
      </w:pPr>
    </w:p>
    <w:sectPr w:rsidR="006645CA" w:rsidSect="006645CA">
      <w:headerReference w:type="default" r:id="rId8"/>
      <w:footerReference w:type="default" r:id="rId9"/>
      <w:pgSz w:w="11906" w:h="16838"/>
      <w:pgMar w:top="1440" w:right="1134" w:bottom="144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304" w:rsidRDefault="000B2304" w:rsidP="006645CA">
      <w:pPr>
        <w:spacing w:before="0" w:after="0"/>
      </w:pPr>
      <w:r>
        <w:separator/>
      </w:r>
    </w:p>
  </w:endnote>
  <w:endnote w:type="continuationSeparator" w:id="0">
    <w:p w:rsidR="000B2304" w:rsidRDefault="000B2304" w:rsidP="006645C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5CA" w:rsidRDefault="002C354C">
    <w:pPr>
      <w:pStyle w:val="Footer"/>
    </w:pPr>
    <w:r>
      <w:fldChar w:fldCharType="begin"/>
    </w:r>
    <w:r w:rsidR="00B92874">
      <w:instrText xml:space="preserve"> PAGE </w:instrText>
    </w:r>
    <w:r>
      <w:fldChar w:fldCharType="separate"/>
    </w:r>
    <w:r w:rsidR="00475E9D">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304" w:rsidRDefault="000B2304" w:rsidP="006645CA">
      <w:pPr>
        <w:spacing w:before="0" w:after="0"/>
      </w:pPr>
      <w:r>
        <w:separator/>
      </w:r>
    </w:p>
  </w:footnote>
  <w:footnote w:type="continuationSeparator" w:id="0">
    <w:p w:rsidR="000B2304" w:rsidRDefault="000B2304" w:rsidP="006645C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5CA" w:rsidRDefault="00B92874">
    <w:pPr>
      <w:pStyle w:val="Header"/>
    </w:pPr>
    <w:r>
      <w:rPr>
        <w:rFonts w:hint="eastAsia"/>
      </w:rPr>
      <w:t>中百控股集团股份有限公司</w:t>
    </w:r>
    <w:r>
      <w:t>2021</w:t>
    </w:r>
    <w:r>
      <w:rPr>
        <w:rFonts w:hint="eastAsia"/>
      </w:rPr>
      <w:t>年年度报告摘要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5229"/>
    <w:rsid w:val="00076EC8"/>
    <w:rsid w:val="000B2304"/>
    <w:rsid w:val="00101569"/>
    <w:rsid w:val="002B4024"/>
    <w:rsid w:val="002C354C"/>
    <w:rsid w:val="00446FE4"/>
    <w:rsid w:val="0045261D"/>
    <w:rsid w:val="00475E9D"/>
    <w:rsid w:val="006645CA"/>
    <w:rsid w:val="006E0085"/>
    <w:rsid w:val="008C39B6"/>
    <w:rsid w:val="00935229"/>
    <w:rsid w:val="009C36E7"/>
    <w:rsid w:val="009C5CC8"/>
    <w:rsid w:val="00A80E63"/>
    <w:rsid w:val="00B13C7C"/>
    <w:rsid w:val="00B92874"/>
    <w:rsid w:val="00BA2DDB"/>
    <w:rsid w:val="00BD609B"/>
    <w:rsid w:val="00BE4CBE"/>
    <w:rsid w:val="00C408D7"/>
    <w:rsid w:val="00CF247E"/>
    <w:rsid w:val="00D100D6"/>
    <w:rsid w:val="00D11043"/>
    <w:rsid w:val="00D31AF0"/>
    <w:rsid w:val="00D33EEE"/>
    <w:rsid w:val="00D642F6"/>
    <w:rsid w:val="00D9297A"/>
    <w:rsid w:val="00E54079"/>
    <w:rsid w:val="00E6791C"/>
    <w:rsid w:val="00EC4DA0"/>
    <w:rsid w:val="00F11929"/>
    <w:rsid w:val="07AA2BA8"/>
    <w:rsid w:val="10375FBD"/>
    <w:rsid w:val="136C5310"/>
    <w:rsid w:val="218026FB"/>
    <w:rsid w:val="256269E8"/>
    <w:rsid w:val="27484D5C"/>
    <w:rsid w:val="27CE384A"/>
    <w:rsid w:val="2C042B8C"/>
    <w:rsid w:val="311F253B"/>
    <w:rsid w:val="421626E8"/>
    <w:rsid w:val="52107003"/>
    <w:rsid w:val="59E216DF"/>
    <w:rsid w:val="64C46363"/>
    <w:rsid w:val="77DA7DA3"/>
    <w:rsid w:val="7D143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5CA"/>
    <w:pPr>
      <w:widowControl w:val="0"/>
      <w:spacing w:before="40" w:after="4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645CA"/>
    <w:pPr>
      <w:tabs>
        <w:tab w:val="center" w:pos="4153"/>
        <w:tab w:val="right" w:pos="8306"/>
      </w:tabs>
      <w:snapToGrid w:val="0"/>
      <w:jc w:val="left"/>
    </w:pPr>
  </w:style>
  <w:style w:type="paragraph" w:styleId="a4">
    <w:name w:val="header"/>
    <w:basedOn w:val="a"/>
    <w:link w:val="Char0"/>
    <w:uiPriority w:val="99"/>
    <w:semiHidden/>
    <w:unhideWhenUsed/>
    <w:qFormat/>
    <w:rsid w:val="006645CA"/>
    <w:pPr>
      <w:pBdr>
        <w:bottom w:val="single" w:sz="6" w:space="1" w:color="auto"/>
      </w:pBdr>
      <w:tabs>
        <w:tab w:val="center" w:pos="4153"/>
        <w:tab w:val="right" w:pos="8306"/>
      </w:tabs>
      <w:snapToGrid w:val="0"/>
      <w:jc w:val="center"/>
    </w:pPr>
  </w:style>
  <w:style w:type="paragraph" w:styleId="a5">
    <w:name w:val="Title"/>
    <w:basedOn w:val="a"/>
    <w:next w:val="a"/>
    <w:link w:val="Char1"/>
    <w:uiPriority w:val="99"/>
    <w:qFormat/>
    <w:rsid w:val="006645CA"/>
    <w:pPr>
      <w:keepNext/>
      <w:keepLines/>
      <w:spacing w:before="340" w:after="330" w:line="578" w:lineRule="auto"/>
      <w:jc w:val="center"/>
    </w:pPr>
    <w:rPr>
      <w:b/>
      <w:bCs/>
      <w:kern w:val="32"/>
      <w:sz w:val="32"/>
      <w:szCs w:val="32"/>
    </w:rPr>
  </w:style>
  <w:style w:type="character" w:customStyle="1" w:styleId="Char1">
    <w:name w:val="标题 Char"/>
    <w:basedOn w:val="a0"/>
    <w:link w:val="a5"/>
    <w:uiPriority w:val="10"/>
    <w:qFormat/>
    <w:locked/>
    <w:rsid w:val="006645CA"/>
    <w:rPr>
      <w:rFonts w:asciiTheme="majorHAnsi" w:eastAsia="宋体" w:hAnsiTheme="majorHAnsi" w:cstheme="majorBidi"/>
      <w:b/>
      <w:bCs/>
      <w:sz w:val="32"/>
      <w:szCs w:val="32"/>
    </w:rPr>
  </w:style>
  <w:style w:type="paragraph" w:customStyle="1" w:styleId="Chapter">
    <w:name w:val="Chapter"/>
    <w:next w:val="a"/>
    <w:uiPriority w:val="99"/>
    <w:qFormat/>
    <w:rsid w:val="006645CA"/>
    <w:pPr>
      <w:keepNext/>
      <w:keepLines/>
      <w:widowControl w:val="0"/>
      <w:spacing w:before="300" w:after="300" w:line="241" w:lineRule="auto"/>
      <w:jc w:val="both"/>
    </w:pPr>
    <w:rPr>
      <w:b/>
      <w:bCs/>
      <w:kern w:val="28"/>
      <w:sz w:val="24"/>
      <w:szCs w:val="24"/>
    </w:rPr>
  </w:style>
  <w:style w:type="paragraph" w:customStyle="1" w:styleId="Section">
    <w:name w:val="Section"/>
    <w:next w:val="a"/>
    <w:uiPriority w:val="99"/>
    <w:qFormat/>
    <w:rsid w:val="006645CA"/>
    <w:pPr>
      <w:keepNext/>
      <w:keepLines/>
      <w:widowControl w:val="0"/>
      <w:spacing w:before="300" w:after="300" w:line="241" w:lineRule="auto"/>
      <w:jc w:val="both"/>
    </w:pPr>
    <w:rPr>
      <w:b/>
      <w:bCs/>
      <w:kern w:val="28"/>
      <w:sz w:val="21"/>
      <w:szCs w:val="21"/>
    </w:rPr>
  </w:style>
  <w:style w:type="paragraph" w:customStyle="1" w:styleId="Header">
    <w:name w:val="Header"/>
    <w:basedOn w:val="a"/>
    <w:uiPriority w:val="99"/>
    <w:qFormat/>
    <w:rsid w:val="006645CA"/>
    <w:pPr>
      <w:pBdr>
        <w:bottom w:val="single" w:sz="6" w:space="1" w:color="auto"/>
      </w:pBdr>
      <w:tabs>
        <w:tab w:val="center" w:pos="4153"/>
        <w:tab w:val="right" w:pos="8306"/>
      </w:tabs>
      <w:snapToGrid w:val="0"/>
      <w:spacing w:before="0" w:after="0"/>
      <w:jc w:val="right"/>
    </w:pPr>
  </w:style>
  <w:style w:type="paragraph" w:customStyle="1" w:styleId="Footer">
    <w:name w:val="Footer"/>
    <w:basedOn w:val="a"/>
    <w:uiPriority w:val="99"/>
    <w:qFormat/>
    <w:rsid w:val="006645CA"/>
    <w:pPr>
      <w:tabs>
        <w:tab w:val="center" w:pos="4153"/>
        <w:tab w:val="right" w:pos="8306"/>
      </w:tabs>
      <w:snapToGrid w:val="0"/>
      <w:spacing w:before="0" w:after="0"/>
      <w:jc w:val="right"/>
    </w:pPr>
  </w:style>
  <w:style w:type="character" w:customStyle="1" w:styleId="Char0">
    <w:name w:val="页眉 Char"/>
    <w:basedOn w:val="a0"/>
    <w:link w:val="a4"/>
    <w:uiPriority w:val="99"/>
    <w:semiHidden/>
    <w:qFormat/>
    <w:locked/>
    <w:rsid w:val="006645CA"/>
    <w:rPr>
      <w:rFonts w:ascii="Times New Roman" w:eastAsia="宋体" w:hAnsi="Times New Roman" w:cs="Times New Roman"/>
      <w:sz w:val="18"/>
      <w:szCs w:val="18"/>
    </w:rPr>
  </w:style>
  <w:style w:type="character" w:customStyle="1" w:styleId="Char">
    <w:name w:val="页脚 Char"/>
    <w:basedOn w:val="a0"/>
    <w:link w:val="a3"/>
    <w:uiPriority w:val="99"/>
    <w:semiHidden/>
    <w:qFormat/>
    <w:locked/>
    <w:rsid w:val="006645CA"/>
    <w:rPr>
      <w:rFonts w:ascii="Times New Roman" w:eastAsia="宋体" w:hAnsi="Times New Roman" w:cs="Times New Roman"/>
      <w:sz w:val="18"/>
      <w:szCs w:val="18"/>
    </w:rPr>
  </w:style>
  <w:style w:type="paragraph" w:styleId="a6">
    <w:name w:val="Balloon Text"/>
    <w:basedOn w:val="a"/>
    <w:link w:val="Char2"/>
    <w:uiPriority w:val="99"/>
    <w:semiHidden/>
    <w:unhideWhenUsed/>
    <w:rsid w:val="00475E9D"/>
    <w:pPr>
      <w:spacing w:before="0" w:after="0"/>
    </w:pPr>
  </w:style>
  <w:style w:type="character" w:customStyle="1" w:styleId="Char2">
    <w:name w:val="批注框文本 Char"/>
    <w:basedOn w:val="a0"/>
    <w:link w:val="a6"/>
    <w:uiPriority w:val="99"/>
    <w:semiHidden/>
    <w:rsid w:val="00475E9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中百控股集团股份有限公司2021年年度报告摘要</dc:title>
  <dc:creator>中百控股集团股份有限公司</dc:creator>
  <cp:lastModifiedBy>Administrator</cp:lastModifiedBy>
  <cp:revision>6</cp:revision>
  <cp:lastPrinted>2022-03-23T01:32:00Z</cp:lastPrinted>
  <dcterms:created xsi:type="dcterms:W3CDTF">2022-03-12T07:24:00Z</dcterms:created>
  <dcterms:modified xsi:type="dcterms:W3CDTF">2022-03-25T05:41:00Z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