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F13" w:rsidRDefault="003C47C5">
      <w:pPr>
        <w:pStyle w:val="Default"/>
        <w:snapToGrid w:val="0"/>
        <w:ind w:firstLineChars="200" w:firstLine="640"/>
        <w:jc w:val="center"/>
        <w:rPr>
          <w:bCs/>
          <w:color w:val="000000" w:themeColor="text1"/>
          <w:sz w:val="32"/>
          <w:szCs w:val="32"/>
        </w:rPr>
      </w:pPr>
      <w:r>
        <w:rPr>
          <w:rFonts w:hint="eastAsia"/>
          <w:bCs/>
          <w:color w:val="000000" w:themeColor="text1"/>
          <w:sz w:val="32"/>
          <w:szCs w:val="32"/>
        </w:rPr>
        <w:t>中百控股集团股份有限公司</w:t>
      </w:r>
    </w:p>
    <w:p w:rsidR="00564F13" w:rsidRDefault="003C47C5">
      <w:pPr>
        <w:pStyle w:val="Default"/>
        <w:snapToGrid w:val="0"/>
        <w:ind w:firstLineChars="200" w:firstLine="640"/>
        <w:jc w:val="center"/>
        <w:rPr>
          <w:bCs/>
          <w:color w:val="000000" w:themeColor="text1"/>
          <w:sz w:val="32"/>
          <w:szCs w:val="32"/>
        </w:rPr>
      </w:pPr>
      <w:r>
        <w:rPr>
          <w:rFonts w:hint="eastAsia"/>
          <w:bCs/>
          <w:color w:val="000000" w:themeColor="text1"/>
          <w:sz w:val="32"/>
          <w:szCs w:val="32"/>
        </w:rPr>
        <w:t>2021年度董事会工作报告</w:t>
      </w:r>
    </w:p>
    <w:p w:rsidR="00564F13" w:rsidRDefault="00564F13">
      <w:pPr>
        <w:pStyle w:val="Default"/>
        <w:snapToGrid w:val="0"/>
        <w:spacing w:line="360" w:lineRule="auto"/>
        <w:ind w:firstLineChars="200" w:firstLine="480"/>
        <w:jc w:val="both"/>
        <w:rPr>
          <w:rFonts w:asciiTheme="minorEastAsia" w:eastAsiaTheme="minorEastAsia" w:hAnsiTheme="minorEastAsia"/>
          <w:bCs/>
          <w:color w:val="000000" w:themeColor="text1"/>
        </w:rPr>
      </w:pPr>
    </w:p>
    <w:p w:rsidR="00564F13" w:rsidRDefault="003C47C5">
      <w:pPr>
        <w:pStyle w:val="Default"/>
        <w:snapToGrid w:val="0"/>
        <w:spacing w:line="360" w:lineRule="auto"/>
        <w:ind w:firstLineChars="200" w:firstLine="480"/>
        <w:jc w:val="both"/>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t>20</w:t>
      </w:r>
      <w:r>
        <w:rPr>
          <w:rFonts w:asciiTheme="minorEastAsia" w:eastAsiaTheme="minorEastAsia" w:hAnsiTheme="minorEastAsia" w:hint="eastAsia"/>
          <w:bCs/>
          <w:color w:val="000000" w:themeColor="text1"/>
        </w:rPr>
        <w:t>21年，中百控股集团股份有限公司（以下简称“公司”）董事会严格按照《公司法》《证券法》《深圳证券交易所股票上市规则》等法律法规、规范性文件及《公司章程》的要求，认真履行义务，严格执行股东大会决议，积极开展董事会各项工作，不断规范公司治理，保障了公司的良好运作和可持续发展。</w:t>
      </w:r>
      <w:r>
        <w:rPr>
          <w:rFonts w:asciiTheme="minorEastAsia" w:eastAsiaTheme="minorEastAsia" w:hAnsiTheme="minorEastAsia"/>
          <w:bCs/>
          <w:color w:val="000000" w:themeColor="text1"/>
        </w:rPr>
        <w:t>现将公司董事会20</w:t>
      </w:r>
      <w:r>
        <w:rPr>
          <w:rFonts w:asciiTheme="minorEastAsia" w:eastAsiaTheme="minorEastAsia" w:hAnsiTheme="minorEastAsia" w:hint="eastAsia"/>
          <w:bCs/>
          <w:color w:val="000000" w:themeColor="text1"/>
        </w:rPr>
        <w:t>21</w:t>
      </w:r>
      <w:r>
        <w:rPr>
          <w:rFonts w:asciiTheme="minorEastAsia" w:eastAsiaTheme="minorEastAsia" w:hAnsiTheme="minorEastAsia"/>
          <w:bCs/>
          <w:color w:val="000000" w:themeColor="text1"/>
        </w:rPr>
        <w:t>年度工作情况报告如下：</w:t>
      </w:r>
    </w:p>
    <w:p w:rsidR="00564F13" w:rsidRDefault="003C47C5">
      <w:pPr>
        <w:pStyle w:val="Default"/>
        <w:snapToGrid w:val="0"/>
        <w:spacing w:line="360" w:lineRule="auto"/>
        <w:ind w:firstLineChars="200" w:firstLine="480"/>
        <w:jc w:val="both"/>
        <w:rPr>
          <w:rFonts w:cs="黑体"/>
          <w:bCs/>
          <w:color w:val="000000" w:themeColor="text1"/>
        </w:rPr>
      </w:pPr>
      <w:r>
        <w:rPr>
          <w:rFonts w:cs="黑体" w:hint="eastAsia"/>
          <w:bCs/>
          <w:color w:val="000000" w:themeColor="text1"/>
        </w:rPr>
        <w:t>一、报告期公司整体情况</w:t>
      </w:r>
    </w:p>
    <w:p w:rsidR="00564F13" w:rsidRDefault="003C47C5">
      <w:pPr>
        <w:pStyle w:val="Default"/>
        <w:snapToGrid w:val="0"/>
        <w:spacing w:line="360" w:lineRule="auto"/>
        <w:ind w:firstLineChars="200" w:firstLine="480"/>
        <w:jc w:val="both"/>
        <w:rPr>
          <w:rFonts w:ascii="Times New Roman" w:eastAsia="宋体"/>
          <w:bCs/>
          <w:color w:val="000000" w:themeColor="text1"/>
        </w:rPr>
      </w:pPr>
      <w:r>
        <w:rPr>
          <w:rFonts w:ascii="Times New Roman" w:eastAsia="宋体"/>
          <w:bCs/>
          <w:color w:val="000000" w:themeColor="text1"/>
        </w:rPr>
        <w:t>20</w:t>
      </w:r>
      <w:r>
        <w:rPr>
          <w:rFonts w:ascii="Times New Roman" w:eastAsia="宋体" w:hint="eastAsia"/>
          <w:bCs/>
          <w:color w:val="000000" w:themeColor="text1"/>
        </w:rPr>
        <w:t>21</w:t>
      </w:r>
      <w:r>
        <w:rPr>
          <w:rFonts w:ascii="Times New Roman" w:eastAsia="宋体" w:hint="eastAsia"/>
          <w:bCs/>
          <w:color w:val="000000" w:themeColor="text1"/>
        </w:rPr>
        <w:t>年，公司积极应对疫情持续影响和线上零售冲击，坚持经营发展和改革转型双轮驱动，</w:t>
      </w:r>
      <w:r>
        <w:rPr>
          <w:rFonts w:ascii="Times New Roman" w:eastAsia="宋体" w:hint="eastAsia"/>
          <w:bCs/>
          <w:color w:val="auto"/>
        </w:rPr>
        <w:t>精心谋划并同步</w:t>
      </w:r>
      <w:r>
        <w:rPr>
          <w:rFonts w:ascii="Times New Roman" w:eastAsia="宋体" w:hint="eastAsia"/>
          <w:bCs/>
          <w:color w:val="000000" w:themeColor="text1"/>
        </w:rPr>
        <w:t>启动了五大改革攻坚工作，多措并举稳住了企业发展基本盘。</w:t>
      </w:r>
    </w:p>
    <w:p w:rsidR="00564F13" w:rsidRDefault="003C47C5">
      <w:pPr>
        <w:pStyle w:val="Default"/>
        <w:snapToGrid w:val="0"/>
        <w:spacing w:line="360" w:lineRule="auto"/>
        <w:ind w:firstLineChars="200" w:firstLine="480"/>
        <w:jc w:val="both"/>
        <w:rPr>
          <w:rFonts w:ascii="Times New Roman" w:eastAsia="宋体"/>
          <w:bCs/>
          <w:color w:val="000000" w:themeColor="text1"/>
        </w:rPr>
      </w:pPr>
      <w:r>
        <w:rPr>
          <w:rFonts w:ascii="Times New Roman" w:eastAsia="宋体" w:hint="eastAsia"/>
          <w:bCs/>
          <w:color w:val="000000" w:themeColor="text1"/>
        </w:rPr>
        <w:t>公司加快数字化转型，投资</w:t>
      </w:r>
      <w:r>
        <w:rPr>
          <w:rFonts w:ascii="Times New Roman" w:eastAsia="宋体" w:hint="eastAsia"/>
          <w:bCs/>
          <w:color w:val="000000" w:themeColor="text1"/>
        </w:rPr>
        <w:t>1</w:t>
      </w:r>
      <w:r>
        <w:rPr>
          <w:rFonts w:ascii="Times New Roman" w:eastAsia="宋体" w:hint="eastAsia"/>
          <w:bCs/>
          <w:color w:val="000000" w:themeColor="text1"/>
        </w:rPr>
        <w:t>亿元设立武汉数智云科技</w:t>
      </w:r>
      <w:r w:rsidR="006864A6">
        <w:rPr>
          <w:rFonts w:ascii="Times New Roman" w:eastAsia="宋体" w:hint="eastAsia"/>
          <w:bCs/>
          <w:color w:val="000000" w:themeColor="text1"/>
        </w:rPr>
        <w:t>有限</w:t>
      </w:r>
      <w:r>
        <w:rPr>
          <w:rFonts w:ascii="Times New Roman" w:eastAsia="宋体" w:hint="eastAsia"/>
          <w:bCs/>
          <w:color w:val="000000" w:themeColor="text1"/>
        </w:rPr>
        <w:t>公司，负责公司数字化建设项目落地；加快供应链调整优化，推进仓储超市与社区超市吸收合并；加快管理架构和体制创新，优化总部和二级公司组织架构，对总部员工和下属公司领导班子薪酬定档定级；加快班子建设和激励改革，完成了</w:t>
      </w:r>
      <w:r>
        <w:rPr>
          <w:rFonts w:ascii="Times New Roman" w:eastAsia="宋体" w:hint="eastAsia"/>
          <w:bCs/>
          <w:color w:val="000000" w:themeColor="text1"/>
        </w:rPr>
        <w:t>8</w:t>
      </w:r>
      <w:r>
        <w:rPr>
          <w:rFonts w:ascii="Times New Roman" w:eastAsia="宋体" w:hint="eastAsia"/>
          <w:bCs/>
          <w:color w:val="000000" w:themeColor="text1"/>
        </w:rPr>
        <w:t>家公司共</w:t>
      </w:r>
      <w:r>
        <w:rPr>
          <w:rFonts w:ascii="Times New Roman" w:eastAsia="宋体" w:hint="eastAsia"/>
          <w:bCs/>
          <w:color w:val="000000" w:themeColor="text1"/>
        </w:rPr>
        <w:t>31</w:t>
      </w:r>
      <w:r>
        <w:rPr>
          <w:rFonts w:ascii="Times New Roman" w:eastAsia="宋体" w:hint="eastAsia"/>
          <w:bCs/>
          <w:color w:val="000000" w:themeColor="text1"/>
        </w:rPr>
        <w:t>名经理层成员的公开选聘，实行契约化管理；加快推进全面预算管理，全年增收节支金额超</w:t>
      </w:r>
      <w:r>
        <w:rPr>
          <w:rFonts w:ascii="Times New Roman" w:eastAsia="宋体" w:hint="eastAsia"/>
          <w:bCs/>
          <w:color w:val="000000" w:themeColor="text1"/>
        </w:rPr>
        <w:t>1</w:t>
      </w:r>
      <w:r>
        <w:rPr>
          <w:rFonts w:ascii="Times New Roman" w:eastAsia="宋体" w:hint="eastAsia"/>
          <w:bCs/>
          <w:color w:val="000000" w:themeColor="text1"/>
        </w:rPr>
        <w:t>亿元。</w:t>
      </w:r>
    </w:p>
    <w:p w:rsidR="00564F13" w:rsidRDefault="003C47C5">
      <w:pPr>
        <w:pStyle w:val="Default"/>
        <w:snapToGrid w:val="0"/>
        <w:spacing w:line="360" w:lineRule="auto"/>
        <w:ind w:firstLineChars="200" w:firstLine="480"/>
        <w:jc w:val="both"/>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报告期内，公司实现营业收入123.31亿元，归属于上市公司股东的净利润</w:t>
      </w:r>
      <w:r>
        <w:rPr>
          <w:rFonts w:asciiTheme="minorEastAsia" w:eastAsiaTheme="minorEastAsia" w:hAnsiTheme="minorEastAsia"/>
          <w:bCs/>
          <w:color w:val="000000" w:themeColor="text1"/>
        </w:rPr>
        <w:t>-</w:t>
      </w:r>
      <w:r>
        <w:rPr>
          <w:rFonts w:asciiTheme="minorEastAsia" w:eastAsiaTheme="minorEastAsia" w:hAnsiTheme="minorEastAsia" w:hint="eastAsia"/>
          <w:bCs/>
          <w:color w:val="000000" w:themeColor="text1"/>
        </w:rPr>
        <w:t>2248</w:t>
      </w:r>
      <w:r>
        <w:rPr>
          <w:rFonts w:asciiTheme="minorEastAsia" w:eastAsiaTheme="minorEastAsia" w:hAnsiTheme="minorEastAsia"/>
          <w:bCs/>
          <w:color w:val="000000" w:themeColor="text1"/>
        </w:rPr>
        <w:t>.</w:t>
      </w:r>
      <w:r>
        <w:rPr>
          <w:rFonts w:asciiTheme="minorEastAsia" w:eastAsiaTheme="minorEastAsia" w:hAnsiTheme="minorEastAsia" w:hint="eastAsia"/>
          <w:bCs/>
          <w:color w:val="000000" w:themeColor="text1"/>
        </w:rPr>
        <w:t>27万元，报告期末公司总资产124.61亿元，归属于上市公司股东的</w:t>
      </w:r>
      <w:r w:rsidR="008B03F4">
        <w:rPr>
          <w:rFonts w:asciiTheme="minorEastAsia" w:eastAsiaTheme="minorEastAsia" w:hAnsiTheme="minorEastAsia" w:hint="eastAsia"/>
          <w:bCs/>
          <w:color w:val="000000" w:themeColor="text1"/>
        </w:rPr>
        <w:t>净资产</w:t>
      </w:r>
      <w:r>
        <w:rPr>
          <w:rFonts w:asciiTheme="minorEastAsia" w:eastAsiaTheme="minorEastAsia" w:hAnsiTheme="minorEastAsia" w:hint="eastAsia"/>
          <w:bCs/>
          <w:color w:val="000000" w:themeColor="text1"/>
        </w:rPr>
        <w:t>30.74亿元</w:t>
      </w:r>
      <w:r>
        <w:rPr>
          <w:rFonts w:asciiTheme="minorEastAsia" w:eastAsiaTheme="minorEastAsia" w:hAnsiTheme="minorEastAsia"/>
          <w:bCs/>
          <w:color w:val="000000" w:themeColor="text1"/>
        </w:rPr>
        <w:t>。</w:t>
      </w:r>
      <w:r>
        <w:rPr>
          <w:rFonts w:asciiTheme="minorEastAsia" w:eastAsiaTheme="minorEastAsia" w:hAnsiTheme="minorEastAsia" w:hint="eastAsia"/>
          <w:bCs/>
          <w:color w:val="000000" w:themeColor="text1"/>
        </w:rPr>
        <w:t>全年发展网点242家，网点总数达1539家。</w:t>
      </w:r>
    </w:p>
    <w:p w:rsidR="00564F13" w:rsidRDefault="003C47C5">
      <w:pPr>
        <w:pStyle w:val="Default"/>
        <w:snapToGrid w:val="0"/>
        <w:spacing w:line="360" w:lineRule="auto"/>
        <w:ind w:firstLineChars="200" w:firstLine="480"/>
        <w:jc w:val="both"/>
        <w:rPr>
          <w:rFonts w:cs="黑体"/>
          <w:bCs/>
          <w:color w:val="000000" w:themeColor="text1"/>
        </w:rPr>
      </w:pPr>
      <w:r>
        <w:rPr>
          <w:rFonts w:cs="黑体"/>
          <w:bCs/>
          <w:color w:val="000000" w:themeColor="text1"/>
        </w:rPr>
        <w:t>二</w:t>
      </w:r>
      <w:r>
        <w:rPr>
          <w:rFonts w:cs="黑体" w:hint="eastAsia"/>
          <w:bCs/>
          <w:color w:val="000000" w:themeColor="text1"/>
        </w:rPr>
        <w:t>、</w:t>
      </w:r>
      <w:r>
        <w:rPr>
          <w:rFonts w:cs="黑体"/>
          <w:bCs/>
          <w:color w:val="000000" w:themeColor="text1"/>
        </w:rPr>
        <w:t>董事会</w:t>
      </w:r>
      <w:r>
        <w:rPr>
          <w:rFonts w:cs="黑体" w:hint="eastAsia"/>
          <w:bCs/>
          <w:color w:val="000000" w:themeColor="text1"/>
        </w:rPr>
        <w:t>主要</w:t>
      </w:r>
      <w:r>
        <w:rPr>
          <w:rFonts w:cs="黑体"/>
          <w:bCs/>
          <w:color w:val="000000" w:themeColor="text1"/>
        </w:rPr>
        <w:t>工作</w:t>
      </w:r>
    </w:p>
    <w:p w:rsidR="00564F13" w:rsidRDefault="003C47C5">
      <w:pPr>
        <w:pStyle w:val="Default"/>
        <w:snapToGrid w:val="0"/>
        <w:spacing w:line="360" w:lineRule="auto"/>
        <w:ind w:firstLineChars="200" w:firstLine="482"/>
        <w:rPr>
          <w:rFonts w:ascii="楷体" w:eastAsia="楷体" w:hAnsi="楷体" w:cs="楷体"/>
          <w:b/>
          <w:bCs/>
          <w:color w:val="000000" w:themeColor="text1"/>
        </w:rPr>
      </w:pPr>
      <w:r>
        <w:rPr>
          <w:rFonts w:ascii="楷体" w:eastAsia="楷体" w:hAnsi="楷体" w:cs="楷体" w:hint="eastAsia"/>
          <w:b/>
          <w:bCs/>
          <w:color w:val="000000" w:themeColor="text1"/>
        </w:rPr>
        <w:t>（一）强化战略引领作用，编制十四五发展规划</w:t>
      </w:r>
    </w:p>
    <w:p w:rsidR="00564F13" w:rsidRDefault="003C47C5">
      <w:pPr>
        <w:pStyle w:val="Default"/>
        <w:snapToGrid w:val="0"/>
        <w:spacing w:line="360" w:lineRule="auto"/>
        <w:ind w:firstLineChars="200" w:firstLine="480"/>
        <w:jc w:val="both"/>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公司董事会强化战略引领，专班领导、专题研究</w:t>
      </w:r>
      <w:r w:rsidR="00A23455">
        <w:rPr>
          <w:rFonts w:asciiTheme="minorEastAsia" w:eastAsiaTheme="minorEastAsia" w:hAnsiTheme="minorEastAsia" w:hint="eastAsia"/>
          <w:bCs/>
          <w:color w:val="000000" w:themeColor="text1"/>
        </w:rPr>
        <w:t>并</w:t>
      </w:r>
      <w:r>
        <w:rPr>
          <w:rFonts w:asciiTheme="minorEastAsia" w:eastAsiaTheme="minorEastAsia" w:hAnsiTheme="minorEastAsia" w:hint="eastAsia"/>
          <w:bCs/>
          <w:color w:val="000000" w:themeColor="text1"/>
        </w:rPr>
        <w:t>编制了公司“十四五”发展战略规划，广泛征求二级公司和省、市商务主管部门、股东单位、独立董事等内外部意见与建议，组织召开专家评审会、战略委员会会议论证规划，从战略定位、战略目标、战略方向、战略举措、战略保障五方面梳理确立了公司十四五期间“12355”发展规划，为推动公司实现更高质量发展指明了方向。</w:t>
      </w:r>
    </w:p>
    <w:p w:rsidR="00564F13" w:rsidRDefault="003C47C5">
      <w:pPr>
        <w:pStyle w:val="Default"/>
        <w:snapToGrid w:val="0"/>
        <w:spacing w:line="360" w:lineRule="auto"/>
        <w:ind w:firstLineChars="200" w:firstLine="482"/>
        <w:rPr>
          <w:rFonts w:ascii="楷体" w:eastAsia="楷体" w:hAnsi="楷体" w:cs="楷体"/>
          <w:b/>
          <w:bCs/>
          <w:color w:val="000000" w:themeColor="text1"/>
        </w:rPr>
      </w:pPr>
      <w:r>
        <w:rPr>
          <w:rFonts w:ascii="楷体" w:eastAsia="楷体" w:hAnsi="楷体" w:cs="楷体" w:hint="eastAsia"/>
          <w:b/>
          <w:bCs/>
          <w:color w:val="000000" w:themeColor="text1"/>
        </w:rPr>
        <w:t>（二）完善法人治理结构，完成董事会换届选举</w:t>
      </w:r>
    </w:p>
    <w:p w:rsidR="00564F13" w:rsidRDefault="003C47C5">
      <w:pPr>
        <w:pStyle w:val="Default"/>
        <w:snapToGrid w:val="0"/>
        <w:spacing w:line="360" w:lineRule="auto"/>
        <w:ind w:firstLineChars="200" w:firstLine="480"/>
        <w:jc w:val="both"/>
        <w:rPr>
          <w:rFonts w:asciiTheme="minorEastAsia" w:eastAsiaTheme="minorEastAsia" w:hAnsiTheme="minorEastAsia"/>
          <w:bCs/>
          <w:color w:val="000000" w:themeColor="text1"/>
        </w:rPr>
      </w:pPr>
      <w:r>
        <w:rPr>
          <w:rFonts w:ascii="宋体" w:eastAsia="宋体" w:hAnsi="宋体" w:hint="eastAsia"/>
          <w:bCs/>
        </w:rPr>
        <w:t>3月份</w:t>
      </w:r>
      <w:r>
        <w:rPr>
          <w:rFonts w:asciiTheme="minorEastAsia" w:eastAsiaTheme="minorEastAsia" w:hAnsiTheme="minorEastAsia" w:hint="eastAsia"/>
          <w:bCs/>
          <w:color w:val="000000" w:themeColor="text1"/>
        </w:rPr>
        <w:t>，公司</w:t>
      </w:r>
      <w:r>
        <w:rPr>
          <w:rFonts w:ascii="宋体" w:eastAsia="宋体" w:hAnsi="宋体" w:hint="eastAsia"/>
          <w:bCs/>
        </w:rPr>
        <w:t>组织完成了董事会换届，选举产生了</w:t>
      </w:r>
      <w:r>
        <w:rPr>
          <w:rFonts w:asciiTheme="minorEastAsia" w:eastAsiaTheme="minorEastAsia" w:hAnsiTheme="minorEastAsia" w:hint="eastAsia"/>
          <w:bCs/>
          <w:color w:val="000000" w:themeColor="text1"/>
        </w:rPr>
        <w:t>第十届董事会成员</w:t>
      </w:r>
      <w:r>
        <w:rPr>
          <w:rFonts w:ascii="宋体" w:eastAsia="宋体" w:hAnsi="宋体" w:hint="eastAsia"/>
          <w:bCs/>
        </w:rPr>
        <w:t>，同时</w:t>
      </w:r>
      <w:r>
        <w:rPr>
          <w:rFonts w:asciiTheme="minorEastAsia" w:eastAsiaTheme="minorEastAsia" w:hAnsiTheme="minorEastAsia" w:hint="eastAsia"/>
          <w:bCs/>
          <w:color w:val="000000" w:themeColor="text1"/>
        </w:rPr>
        <w:t>选举了</w:t>
      </w:r>
      <w:r>
        <w:rPr>
          <w:rFonts w:asciiTheme="minorEastAsia" w:eastAsiaTheme="minorEastAsia" w:hAnsiTheme="minorEastAsia" w:hint="eastAsia"/>
          <w:bCs/>
          <w:color w:val="000000" w:themeColor="text1"/>
        </w:rPr>
        <w:lastRenderedPageBreak/>
        <w:t>董事长，</w:t>
      </w:r>
      <w:r>
        <w:rPr>
          <w:rFonts w:ascii="宋体" w:eastAsia="宋体" w:hAnsi="宋体" w:hint="eastAsia"/>
          <w:bCs/>
        </w:rPr>
        <w:t>对各专门委员会人员进行了调整，并聘任了新一届经理层。“三会一层”各司其职，公司法人治理结构进一步完善。</w:t>
      </w:r>
    </w:p>
    <w:p w:rsidR="00564F13" w:rsidRDefault="003C47C5">
      <w:pPr>
        <w:pStyle w:val="Default"/>
        <w:snapToGrid w:val="0"/>
        <w:spacing w:line="360" w:lineRule="auto"/>
        <w:ind w:firstLineChars="200" w:firstLine="480"/>
        <w:jc w:val="both"/>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报告期内，公司共组织召开</w:t>
      </w:r>
      <w:r>
        <w:rPr>
          <w:rFonts w:ascii="宋体" w:eastAsia="宋体" w:hAnsi="宋体" w:hint="eastAsia"/>
          <w:bCs/>
        </w:rPr>
        <w:t>股东大会4场</w:t>
      </w:r>
      <w:r>
        <w:rPr>
          <w:rFonts w:asciiTheme="minorEastAsia" w:eastAsiaTheme="minorEastAsia" w:hAnsiTheme="minorEastAsia" w:hint="eastAsia"/>
          <w:bCs/>
          <w:color w:val="000000" w:themeColor="text1"/>
        </w:rPr>
        <w:t>、</w:t>
      </w:r>
      <w:r>
        <w:rPr>
          <w:rFonts w:ascii="宋体" w:eastAsia="宋体" w:hAnsi="宋体" w:hint="eastAsia"/>
          <w:bCs/>
        </w:rPr>
        <w:t>董事会会议11场、专门委员会会议14场，</w:t>
      </w:r>
      <w:r>
        <w:rPr>
          <w:rFonts w:asciiTheme="minorEastAsia" w:eastAsiaTheme="minorEastAsia" w:hAnsiTheme="minorEastAsia" w:hint="eastAsia"/>
          <w:bCs/>
          <w:color w:val="000000" w:themeColor="text1"/>
        </w:rPr>
        <w:t>董事会成员诚信、勤勉、专业、高效地履行了各自职责，所有会议作出的决议均合法有效。董事会与股东大会的召集、召开程序符合法律、法规及《公司章程》的有关规定，董事会对于历次股东大会决议事项均遵照执行。</w:t>
      </w:r>
    </w:p>
    <w:p w:rsidR="00564F13" w:rsidRDefault="003C47C5">
      <w:pPr>
        <w:pStyle w:val="Default"/>
        <w:snapToGrid w:val="0"/>
        <w:spacing w:line="360" w:lineRule="auto"/>
        <w:ind w:firstLineChars="200" w:firstLine="482"/>
        <w:rPr>
          <w:rFonts w:ascii="楷体" w:eastAsia="楷体" w:hAnsi="楷体" w:cs="楷体"/>
          <w:b/>
          <w:bCs/>
          <w:color w:val="000000" w:themeColor="text1"/>
        </w:rPr>
      </w:pPr>
      <w:r>
        <w:rPr>
          <w:rFonts w:ascii="楷体" w:eastAsia="楷体" w:hAnsi="楷体" w:cs="楷体" w:hint="eastAsia"/>
          <w:b/>
          <w:bCs/>
          <w:color w:val="000000" w:themeColor="text1"/>
        </w:rPr>
        <w:t>（三）注重信息披露质量，加强内幕信息管理</w:t>
      </w:r>
    </w:p>
    <w:p w:rsidR="00564F13" w:rsidRDefault="003C47C5">
      <w:pPr>
        <w:pStyle w:val="Default"/>
        <w:snapToGrid w:val="0"/>
        <w:spacing w:line="360" w:lineRule="auto"/>
        <w:ind w:firstLineChars="200" w:firstLine="480"/>
        <w:jc w:val="both"/>
        <w:rPr>
          <w:rFonts w:ascii="宋体" w:eastAsia="宋体" w:hAnsi="宋体"/>
          <w:bCs/>
        </w:rPr>
      </w:pPr>
      <w:r>
        <w:rPr>
          <w:rFonts w:asciiTheme="minorEastAsia" w:eastAsiaTheme="minorEastAsia" w:hAnsiTheme="minorEastAsia" w:hint="eastAsia"/>
          <w:bCs/>
          <w:color w:val="000000" w:themeColor="text1"/>
        </w:rPr>
        <w:t>报告期内，公司董事会严格按照相关法律法规及公司制度的规定，忠实履行了信息披露义务</w:t>
      </w:r>
      <w:r>
        <w:rPr>
          <w:rFonts w:ascii="Times New Roman" w:eastAsiaTheme="minorEastAsia" w:hint="eastAsia"/>
          <w:bCs/>
          <w:color w:val="000000" w:themeColor="text1"/>
        </w:rPr>
        <w:t>。</w:t>
      </w:r>
      <w:r>
        <w:rPr>
          <w:rFonts w:ascii="宋体" w:eastAsia="宋体" w:hAnsi="宋体" w:hint="eastAsia"/>
          <w:bCs/>
        </w:rPr>
        <w:t>全年共披露定期报告及临时报告131份，</w:t>
      </w:r>
      <w:r>
        <w:rPr>
          <w:rFonts w:ascii="Times New Roman" w:eastAsiaTheme="minorEastAsia" w:hint="eastAsia"/>
          <w:bCs/>
          <w:color w:val="000000" w:themeColor="text1"/>
        </w:rPr>
        <w:t>公司信息披露真实、准确、完整、及时，客观反映了公司发生的相关事项，没有虚假记载、误导性陈述或重大遗漏。</w:t>
      </w:r>
    </w:p>
    <w:p w:rsidR="00564F13" w:rsidRDefault="003C47C5">
      <w:pPr>
        <w:pStyle w:val="Default"/>
        <w:snapToGrid w:val="0"/>
        <w:spacing w:line="360" w:lineRule="auto"/>
        <w:ind w:firstLineChars="200" w:firstLine="480"/>
        <w:jc w:val="both"/>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同时，公司通过定期提醒，持续增强相关人员保密意识，控制内幕信息知情人范围及做好内幕信息知情人登记。报告期内公司未发生内幕信息泄露事件或内幕交易行为。</w:t>
      </w:r>
    </w:p>
    <w:p w:rsidR="00564F13" w:rsidRDefault="003C47C5">
      <w:pPr>
        <w:pStyle w:val="Default"/>
        <w:snapToGrid w:val="0"/>
        <w:spacing w:line="360" w:lineRule="auto"/>
        <w:ind w:firstLineChars="200" w:firstLine="482"/>
        <w:rPr>
          <w:rFonts w:ascii="楷体" w:eastAsia="楷体" w:hAnsi="楷体" w:cs="楷体"/>
          <w:b/>
          <w:bCs/>
          <w:color w:val="000000" w:themeColor="text1"/>
        </w:rPr>
      </w:pPr>
      <w:r>
        <w:rPr>
          <w:rFonts w:ascii="楷体" w:eastAsia="楷体" w:hAnsi="楷体" w:cs="楷体" w:hint="eastAsia"/>
          <w:b/>
          <w:bCs/>
          <w:color w:val="000000" w:themeColor="text1"/>
        </w:rPr>
        <w:t>（四）重视股东投资回报，实现经营成果共享</w:t>
      </w:r>
    </w:p>
    <w:p w:rsidR="00564F13" w:rsidRDefault="003C47C5">
      <w:pPr>
        <w:pStyle w:val="Default"/>
        <w:snapToGrid w:val="0"/>
        <w:spacing w:line="360" w:lineRule="auto"/>
        <w:ind w:firstLineChars="200" w:firstLine="480"/>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公司严格按照《公司章程》等相关规定，拟定了2020年度利润分配方案，并经年度股东大会审议通过后实施权益分派，实际现金分红金额合计</w:t>
      </w:r>
      <w:r>
        <w:rPr>
          <w:rFonts w:asciiTheme="minorEastAsia" w:hAnsiTheme="minorEastAsia" w:hint="eastAsia"/>
        </w:rPr>
        <w:t>32,801,474.30</w:t>
      </w:r>
      <w:r>
        <w:rPr>
          <w:rFonts w:asciiTheme="minorEastAsia" w:eastAsiaTheme="minorEastAsia" w:hAnsiTheme="minorEastAsia" w:hint="eastAsia"/>
          <w:bCs/>
          <w:color w:val="000000" w:themeColor="text1"/>
        </w:rPr>
        <w:t>元，占2020年度归属于上市公司股东净利润的 76.05%，连续5年实现现金分红。</w:t>
      </w:r>
    </w:p>
    <w:p w:rsidR="00564F13" w:rsidRDefault="003C47C5">
      <w:pPr>
        <w:pStyle w:val="Default"/>
        <w:snapToGrid w:val="0"/>
        <w:spacing w:line="360" w:lineRule="auto"/>
        <w:ind w:firstLineChars="200" w:firstLine="482"/>
        <w:rPr>
          <w:rFonts w:ascii="楷体" w:eastAsia="楷体" w:hAnsi="楷体" w:cs="楷体"/>
          <w:b/>
          <w:bCs/>
          <w:color w:val="000000" w:themeColor="text1"/>
        </w:rPr>
      </w:pPr>
      <w:r>
        <w:rPr>
          <w:rFonts w:ascii="楷体" w:eastAsia="楷体" w:hAnsi="楷体" w:cs="楷体" w:hint="eastAsia"/>
          <w:b/>
          <w:bCs/>
          <w:color w:val="000000" w:themeColor="text1"/>
        </w:rPr>
        <w:t>（五）坚持真实性原则，传递公司有效信息</w:t>
      </w:r>
    </w:p>
    <w:p w:rsidR="00564F13" w:rsidRDefault="003C47C5">
      <w:pPr>
        <w:pStyle w:val="Default"/>
        <w:snapToGrid w:val="0"/>
        <w:spacing w:line="360" w:lineRule="auto"/>
        <w:ind w:firstLineChars="200" w:firstLine="480"/>
        <w:rPr>
          <w:rFonts w:ascii="Times New Roman" w:eastAsiaTheme="minorEastAsia"/>
          <w:bCs/>
          <w:color w:val="000000" w:themeColor="text1"/>
        </w:rPr>
      </w:pPr>
      <w:r>
        <w:rPr>
          <w:rFonts w:asciiTheme="minorEastAsia" w:eastAsiaTheme="minorEastAsia" w:hAnsiTheme="minorEastAsia" w:hint="eastAsia"/>
          <w:bCs/>
          <w:color w:val="000000" w:themeColor="text1"/>
        </w:rPr>
        <w:t>公司董事会重视投资者权益保护，</w:t>
      </w:r>
      <w:r>
        <w:rPr>
          <w:rFonts w:ascii="Times New Roman" w:eastAsiaTheme="minorEastAsia" w:hint="eastAsia"/>
          <w:bCs/>
          <w:color w:val="000000" w:themeColor="text1"/>
        </w:rPr>
        <w:t>通过投资者服务热线、投资者集体活动日、投资者互动平台等多渠道多形式加强与投资者的联系和沟通，全年通过互动易回复投资者提问</w:t>
      </w:r>
      <w:r>
        <w:rPr>
          <w:rFonts w:ascii="Times New Roman" w:eastAsiaTheme="minorEastAsia" w:hint="eastAsia"/>
          <w:bCs/>
          <w:color w:val="000000" w:themeColor="text1"/>
        </w:rPr>
        <w:t>84</w:t>
      </w:r>
      <w:r>
        <w:rPr>
          <w:rFonts w:ascii="Times New Roman" w:eastAsiaTheme="minorEastAsia" w:hint="eastAsia"/>
          <w:bCs/>
          <w:color w:val="000000" w:themeColor="text1"/>
        </w:rPr>
        <w:t>条。采用现场会议和网络投票相结合的方式召开股东大会，以便于广大投资者积极参与。公司把投资者关系管理作为一项长期、持续的工作来开展，不断学习、不断创新，以更多的方式和途径，使广大投资者能够更加了解公司，为提升公司经营管理水平建言献策。</w:t>
      </w:r>
    </w:p>
    <w:p w:rsidR="00564F13" w:rsidRDefault="003C47C5">
      <w:pPr>
        <w:pStyle w:val="Default"/>
        <w:snapToGrid w:val="0"/>
        <w:spacing w:line="360" w:lineRule="auto"/>
        <w:ind w:firstLineChars="200" w:firstLine="482"/>
        <w:rPr>
          <w:rFonts w:ascii="楷体" w:eastAsia="楷体" w:hAnsi="楷体" w:cs="楷体"/>
          <w:b/>
          <w:bCs/>
          <w:color w:val="000000" w:themeColor="text1"/>
        </w:rPr>
      </w:pPr>
      <w:r>
        <w:rPr>
          <w:rFonts w:ascii="楷体" w:eastAsia="楷体" w:hAnsi="楷体" w:cs="楷体" w:hint="eastAsia"/>
          <w:b/>
          <w:bCs/>
          <w:color w:val="000000" w:themeColor="text1"/>
        </w:rPr>
        <w:t>（六）加强公司治理建设，提升规范运作水平</w:t>
      </w:r>
    </w:p>
    <w:p w:rsidR="00564F13" w:rsidRDefault="003C47C5">
      <w:pPr>
        <w:pStyle w:val="Default"/>
        <w:snapToGrid w:val="0"/>
        <w:spacing w:line="360" w:lineRule="auto"/>
        <w:ind w:firstLineChars="200" w:firstLine="480"/>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公司推动制度体系建设，新增修订制度69项并形成11大类的管理制度汇编，规范了制度流程。其中公司根据</w:t>
      </w:r>
      <w:r w:rsidR="00EE05CD">
        <w:rPr>
          <w:rFonts w:asciiTheme="minorEastAsia" w:eastAsiaTheme="minorEastAsia" w:hAnsiTheme="minorEastAsia" w:hint="eastAsia"/>
          <w:bCs/>
          <w:color w:val="000000" w:themeColor="text1"/>
        </w:rPr>
        <w:t>新修订的</w:t>
      </w:r>
      <w:r>
        <w:rPr>
          <w:rFonts w:asciiTheme="minorEastAsia" w:eastAsiaTheme="minorEastAsia" w:hAnsiTheme="minorEastAsia" w:hint="eastAsia"/>
          <w:bCs/>
          <w:color w:val="000000" w:themeColor="text1"/>
        </w:rPr>
        <w:t>《证券法》《深圳证券交易所股票上市规则》等</w:t>
      </w:r>
      <w:r w:rsidR="00EE05CD">
        <w:rPr>
          <w:rFonts w:asciiTheme="minorEastAsia" w:eastAsiaTheme="minorEastAsia" w:hAnsiTheme="minorEastAsia" w:hint="eastAsia"/>
          <w:bCs/>
          <w:color w:val="000000" w:themeColor="text1"/>
        </w:rPr>
        <w:t>法规</w:t>
      </w:r>
      <w:r>
        <w:rPr>
          <w:rFonts w:asciiTheme="minorEastAsia" w:eastAsiaTheme="minorEastAsia" w:hAnsiTheme="minorEastAsia" w:hint="eastAsia"/>
          <w:bCs/>
          <w:color w:val="000000" w:themeColor="text1"/>
        </w:rPr>
        <w:t>，同步修订了《公司章程》《股东大会议事规则》《董事会议事规则》《信息披露制度》等20多份上市公司制度文件，并经董事会、股东大会审议通过。此外，公司编制并修</w:t>
      </w:r>
      <w:r>
        <w:rPr>
          <w:rFonts w:asciiTheme="minorEastAsia" w:eastAsiaTheme="minorEastAsia" w:hAnsiTheme="minorEastAsia" w:hint="eastAsia"/>
          <w:bCs/>
          <w:color w:val="000000" w:themeColor="text1"/>
        </w:rPr>
        <w:lastRenderedPageBreak/>
        <w:t>订了内部证券合规手册《董监高工作手册》，进一步强化</w:t>
      </w:r>
      <w:r>
        <w:rPr>
          <w:rFonts w:ascii="宋体" w:eastAsia="宋体" w:hAnsi="宋体" w:hint="eastAsia"/>
          <w:bCs/>
        </w:rPr>
        <w:t>董监高履职能力</w:t>
      </w:r>
      <w:r>
        <w:rPr>
          <w:rFonts w:asciiTheme="minorEastAsia" w:eastAsiaTheme="minorEastAsia" w:hAnsiTheme="minorEastAsia" w:hint="eastAsia"/>
          <w:bCs/>
          <w:color w:val="000000" w:themeColor="text1"/>
        </w:rPr>
        <w:t>、强化风险合规意识。</w:t>
      </w:r>
    </w:p>
    <w:p w:rsidR="00564F13" w:rsidRDefault="003C47C5">
      <w:pPr>
        <w:pStyle w:val="Default"/>
        <w:snapToGrid w:val="0"/>
        <w:spacing w:line="360" w:lineRule="auto"/>
        <w:ind w:firstLineChars="200" w:firstLine="480"/>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为贯彻落实国务院《关于进一步提高上市公司质量的意见》精神，公司董事会根据证监局要求，对照《上市公司治理专项自查清单》对公司治理情况开展了全面自查，完成了《上市公司治理专项自查报告》，并全面落实整改。通过制度建设、自查整改，公司内控制度进一步健全，法人治理结构持续完善，规范运作水平不断提升。</w:t>
      </w:r>
    </w:p>
    <w:p w:rsidR="00564F13" w:rsidRDefault="003C47C5">
      <w:pPr>
        <w:pStyle w:val="Default"/>
        <w:snapToGrid w:val="0"/>
        <w:spacing w:line="360" w:lineRule="auto"/>
        <w:ind w:firstLineChars="200" w:firstLine="480"/>
        <w:rPr>
          <w:bCs/>
          <w:color w:val="000000" w:themeColor="text1"/>
        </w:rPr>
      </w:pPr>
      <w:r>
        <w:rPr>
          <w:rFonts w:hint="eastAsia"/>
          <w:bCs/>
          <w:color w:val="000000" w:themeColor="text1"/>
        </w:rPr>
        <w:t>三、董事会运作情况</w:t>
      </w:r>
    </w:p>
    <w:p w:rsidR="00564F13" w:rsidRDefault="003C47C5">
      <w:pPr>
        <w:pStyle w:val="Default"/>
        <w:snapToGrid w:val="0"/>
        <w:spacing w:line="360" w:lineRule="auto"/>
        <w:ind w:firstLineChars="200" w:firstLine="482"/>
        <w:rPr>
          <w:rFonts w:ascii="楷体" w:eastAsia="楷体" w:hAnsi="楷体" w:cs="楷体"/>
          <w:b/>
          <w:bCs/>
          <w:color w:val="000000" w:themeColor="text1"/>
        </w:rPr>
      </w:pPr>
      <w:r>
        <w:rPr>
          <w:rFonts w:ascii="楷体" w:eastAsia="楷体" w:hAnsi="楷体" w:cs="楷体" w:hint="eastAsia"/>
          <w:b/>
          <w:bCs/>
          <w:color w:val="000000" w:themeColor="text1"/>
        </w:rPr>
        <w:t>（一）董事会会议召开情况</w:t>
      </w:r>
    </w:p>
    <w:p w:rsidR="00564F13" w:rsidRDefault="003C47C5">
      <w:pPr>
        <w:pStyle w:val="Default"/>
        <w:snapToGrid w:val="0"/>
        <w:spacing w:line="360" w:lineRule="auto"/>
        <w:ind w:firstLineChars="200" w:firstLine="480"/>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报告期内，公司董事会共召开11次会议，会议的召开与表决程序符合《公司法》和《公司章程》等的有关规定，具体情况如下：</w:t>
      </w:r>
    </w:p>
    <w:tbl>
      <w:tblPr>
        <w:tblStyle w:val="aa"/>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276"/>
        <w:gridCol w:w="6514"/>
      </w:tblGrid>
      <w:tr w:rsidR="00564F13">
        <w:tc>
          <w:tcPr>
            <w:tcW w:w="1384" w:type="dxa"/>
            <w:vAlign w:val="center"/>
          </w:tcPr>
          <w:p w:rsidR="00564F13" w:rsidRDefault="003C47C5">
            <w:pPr>
              <w:pStyle w:val="Default"/>
              <w:snapToGrid w:val="0"/>
              <w:spacing w:line="360" w:lineRule="auto"/>
              <w:jc w:val="center"/>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t>会议届次</w:t>
            </w:r>
          </w:p>
        </w:tc>
        <w:tc>
          <w:tcPr>
            <w:tcW w:w="1276" w:type="dxa"/>
            <w:vAlign w:val="center"/>
          </w:tcPr>
          <w:p w:rsidR="00564F13" w:rsidRDefault="003C47C5">
            <w:pPr>
              <w:pStyle w:val="Default"/>
              <w:snapToGrid w:val="0"/>
              <w:spacing w:line="360" w:lineRule="auto"/>
              <w:jc w:val="center"/>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t>会议时间</w:t>
            </w:r>
          </w:p>
        </w:tc>
        <w:tc>
          <w:tcPr>
            <w:tcW w:w="6514" w:type="dxa"/>
          </w:tcPr>
          <w:p w:rsidR="00564F13" w:rsidRDefault="003C47C5">
            <w:pPr>
              <w:pStyle w:val="Default"/>
              <w:snapToGrid w:val="0"/>
              <w:spacing w:line="360" w:lineRule="auto"/>
              <w:jc w:val="center"/>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t>审议议案</w:t>
            </w:r>
          </w:p>
        </w:tc>
      </w:tr>
      <w:tr w:rsidR="00564F13">
        <w:tc>
          <w:tcPr>
            <w:tcW w:w="1384"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第九届董事会第二十七次会议</w:t>
            </w:r>
          </w:p>
        </w:tc>
        <w:tc>
          <w:tcPr>
            <w:tcW w:w="1276"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2021年1月22日</w:t>
            </w:r>
          </w:p>
        </w:tc>
        <w:tc>
          <w:tcPr>
            <w:tcW w:w="6514" w:type="dxa"/>
          </w:tcPr>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《关于受让产业基金持有的中百生鲜股权暨关联交易的议案》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《关于中百超市受让产业基金持有的中百便利店股权暨关联交易的议案》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《关于补选公司董事的议案》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《关于修订&lt;公司章程&gt;的议案》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《关于修订&lt;股东大会议事规则&gt;的议案》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《关于修订&lt;董事会议事规则&gt;的议案》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《关于修订&lt;独立董事制度&gt;的议案》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《关于修订&lt;募集资金管理办法&gt;的议案》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《关于修订&lt;信息披露制度&gt;的议案》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《关于制定&lt;关联交易管理制度&gt;的议案》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《关于制定&lt;对外投资管理制度&gt;的议案》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《关于召开2021年第一次临时股东大会的通知的议案》</w:t>
            </w:r>
          </w:p>
        </w:tc>
      </w:tr>
      <w:tr w:rsidR="00564F13">
        <w:tc>
          <w:tcPr>
            <w:tcW w:w="1384"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第九届董事会第二十八次会议</w:t>
            </w:r>
          </w:p>
        </w:tc>
        <w:tc>
          <w:tcPr>
            <w:tcW w:w="1276"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2021年3月5日</w:t>
            </w:r>
          </w:p>
        </w:tc>
        <w:tc>
          <w:tcPr>
            <w:tcW w:w="6514" w:type="dxa"/>
          </w:tcPr>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《关于公司董事会换届暨选举第十届董事会非独立董事候选人的议案》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《关于公司董事会换届暨选举第十届董事会独立董事候选人的议案》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《关于召开2021年第二次临时股东大会的通知的议案》</w:t>
            </w:r>
          </w:p>
        </w:tc>
      </w:tr>
      <w:tr w:rsidR="00564F13">
        <w:tc>
          <w:tcPr>
            <w:tcW w:w="1384"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第九届董事会第二十九次会议</w:t>
            </w:r>
          </w:p>
        </w:tc>
        <w:tc>
          <w:tcPr>
            <w:tcW w:w="1276"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2021年3月</w:t>
            </w:r>
            <w:r>
              <w:rPr>
                <w:rFonts w:asciiTheme="minorEastAsia" w:eastAsiaTheme="minorEastAsia" w:hAnsiTheme="minorEastAsia"/>
                <w:bCs/>
                <w:color w:val="000000" w:themeColor="text1"/>
                <w:sz w:val="21"/>
                <w:szCs w:val="21"/>
              </w:rPr>
              <w:t>2</w:t>
            </w:r>
            <w:r>
              <w:rPr>
                <w:rFonts w:asciiTheme="minorEastAsia" w:eastAsiaTheme="minorEastAsia" w:hAnsiTheme="minorEastAsia" w:hint="eastAsia"/>
                <w:bCs/>
                <w:color w:val="000000" w:themeColor="text1"/>
                <w:sz w:val="21"/>
                <w:szCs w:val="21"/>
              </w:rPr>
              <w:t>3日</w:t>
            </w:r>
          </w:p>
        </w:tc>
        <w:tc>
          <w:tcPr>
            <w:tcW w:w="6514" w:type="dxa"/>
          </w:tcPr>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《公司2020年度董事会工作报告》</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《公司2020年度经营工作报告》</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《公司2020年年度报告正文及摘要》</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《公司2020年度财务决算报告》</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《公司2020年度利润分配预案》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《公司2020年度内部控制评价报告》</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《关于预计2021年日常关联交易的议案》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《关于办理银行授信和保函的议案》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《关于为子公司提供担保的议案》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《关于续聘中审众环会计师事务所（特殊普通合伙）的议案》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《关于使用自有闲置资金购买理财产品的议案》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《关于公司会计政策变更的议案》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《关于召开2020年年度股东大会的议案》</w:t>
            </w:r>
          </w:p>
        </w:tc>
      </w:tr>
      <w:tr w:rsidR="00564F13">
        <w:tc>
          <w:tcPr>
            <w:tcW w:w="1384"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lastRenderedPageBreak/>
              <w:t>第十届董事会第一次会议</w:t>
            </w:r>
          </w:p>
        </w:tc>
        <w:tc>
          <w:tcPr>
            <w:tcW w:w="1276"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2021年3月25日</w:t>
            </w:r>
          </w:p>
        </w:tc>
        <w:tc>
          <w:tcPr>
            <w:tcW w:w="6514" w:type="dxa"/>
          </w:tcPr>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《关于选举公司第十届董事会董事长的议案》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《关于公司董事会各专门委员会成员组成的议案》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《关于聘任公司总经理的议案》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《关于聘任公司董事会秘书的议案》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《关于聘任公司副总经理的议案》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《关于聘任公司证券事务代表的议案》</w:t>
            </w:r>
          </w:p>
        </w:tc>
      </w:tr>
      <w:tr w:rsidR="00564F13">
        <w:tc>
          <w:tcPr>
            <w:tcW w:w="1384"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第十届董事会第二次会议</w:t>
            </w:r>
          </w:p>
        </w:tc>
        <w:tc>
          <w:tcPr>
            <w:tcW w:w="1276"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2021年4月16日</w:t>
            </w:r>
          </w:p>
        </w:tc>
        <w:tc>
          <w:tcPr>
            <w:tcW w:w="6514" w:type="dxa"/>
          </w:tcPr>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《关于调整公司内部组织架构的议案》</w:t>
            </w:r>
          </w:p>
        </w:tc>
      </w:tr>
      <w:tr w:rsidR="00564F13">
        <w:tc>
          <w:tcPr>
            <w:tcW w:w="1384"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第十届董事会第三次会议</w:t>
            </w:r>
          </w:p>
        </w:tc>
        <w:tc>
          <w:tcPr>
            <w:tcW w:w="1276"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2021年4月26日</w:t>
            </w:r>
          </w:p>
        </w:tc>
        <w:tc>
          <w:tcPr>
            <w:tcW w:w="6514" w:type="dxa"/>
          </w:tcPr>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《公司2021年第一季度报告正文及摘要》</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《关于制定&lt;重大信息内部报告制度&gt;的议案》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《关于修订&lt;战略委员会实施细则&gt;的议案》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《关于修订&lt;审计委员会实施细则&gt;的议案》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《关于修订&lt;提名委员会实施细则&gt;的议案》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《关于修订&lt;薪酬与考核委员会实施细则&gt;的议案》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《关于修订&lt;内部控制制度&gt;的议案》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《关于修订&lt;内幕信息知情人登记管理制度&gt;的议案》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《关于修订&lt;年报信息披露重大差错责任追究制度&gt;的议案》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《关于修订&lt;独立董事年报工作制度&gt;的议案》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《关于修订&lt;投资者关系管理办法&gt;的议案》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《关于修订&lt;接待与推广工作制度&gt;的议案》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bCs/>
                <w:color w:val="000000" w:themeColor="text1"/>
                <w:sz w:val="21"/>
                <w:szCs w:val="21"/>
              </w:rPr>
              <w:t>《关于修订&lt;中小投资者单独计票暂行办法&gt;的议案》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bCs/>
                <w:color w:val="000000" w:themeColor="text1"/>
                <w:sz w:val="21"/>
                <w:szCs w:val="21"/>
              </w:rPr>
              <w:t>《关于修订&lt;外部单位报送信息管理制度&gt;的议案》</w:t>
            </w:r>
          </w:p>
        </w:tc>
      </w:tr>
      <w:tr w:rsidR="00564F13">
        <w:tc>
          <w:tcPr>
            <w:tcW w:w="1384"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第十届董事会第四次会议</w:t>
            </w:r>
          </w:p>
        </w:tc>
        <w:tc>
          <w:tcPr>
            <w:tcW w:w="1276"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2021年6月1日</w:t>
            </w:r>
          </w:p>
        </w:tc>
        <w:tc>
          <w:tcPr>
            <w:tcW w:w="6514" w:type="dxa"/>
          </w:tcPr>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《关于全资子公司之间吸收合并的议案》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《关于投资设立全资子公司的议案》</w:t>
            </w:r>
          </w:p>
        </w:tc>
      </w:tr>
      <w:tr w:rsidR="00564F13">
        <w:tc>
          <w:tcPr>
            <w:tcW w:w="1384"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第十届董事会第五次会议</w:t>
            </w:r>
          </w:p>
        </w:tc>
        <w:tc>
          <w:tcPr>
            <w:tcW w:w="1276"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2021年7月9日</w:t>
            </w:r>
          </w:p>
        </w:tc>
        <w:tc>
          <w:tcPr>
            <w:tcW w:w="6514" w:type="dxa"/>
          </w:tcPr>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《关于第一大股东变更承诺的议案》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《关于补选公司独立董事的议案》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《关于召开2021年第三次临时股东大会的通知的议案》</w:t>
            </w:r>
          </w:p>
        </w:tc>
      </w:tr>
      <w:tr w:rsidR="00564F13">
        <w:tc>
          <w:tcPr>
            <w:tcW w:w="1384"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第十届董事会第六次会议</w:t>
            </w:r>
          </w:p>
        </w:tc>
        <w:tc>
          <w:tcPr>
            <w:tcW w:w="1276"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2021年8月26日</w:t>
            </w:r>
          </w:p>
        </w:tc>
        <w:tc>
          <w:tcPr>
            <w:tcW w:w="6514" w:type="dxa"/>
          </w:tcPr>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《公司2021年半年度报告正文及摘要》</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《关于调整公司董事会各专门委员会成员的议案》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《关于公司高层管理人员2020年度绩效薪酬兑付的议案》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《关于公司经营层2020年度绩效薪酬兑付的议案》</w:t>
            </w:r>
          </w:p>
        </w:tc>
      </w:tr>
      <w:tr w:rsidR="00564F13">
        <w:tc>
          <w:tcPr>
            <w:tcW w:w="1384"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第十届董事会第七次会议</w:t>
            </w:r>
          </w:p>
        </w:tc>
        <w:tc>
          <w:tcPr>
            <w:tcW w:w="1276"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2021年10月27日</w:t>
            </w:r>
          </w:p>
        </w:tc>
        <w:tc>
          <w:tcPr>
            <w:tcW w:w="6514" w:type="dxa"/>
          </w:tcPr>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《公司2021年第三季度报告》</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《关于修订&lt;信息披露制度&gt;的议案》</w:t>
            </w:r>
          </w:p>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《关于制定&lt;企业负责人薪酬与经营业绩考核管理办法&gt;的议案》</w:t>
            </w:r>
          </w:p>
        </w:tc>
      </w:tr>
      <w:tr w:rsidR="00564F13">
        <w:tc>
          <w:tcPr>
            <w:tcW w:w="1384"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第十届董事会第八次会议</w:t>
            </w:r>
          </w:p>
        </w:tc>
        <w:tc>
          <w:tcPr>
            <w:tcW w:w="1276"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2021年12月17日</w:t>
            </w:r>
          </w:p>
        </w:tc>
        <w:tc>
          <w:tcPr>
            <w:tcW w:w="6514" w:type="dxa"/>
          </w:tcPr>
          <w:p w:rsidR="00564F13" w:rsidRDefault="003C47C5">
            <w:pPr>
              <w:pStyle w:val="Default"/>
              <w:snapToGrid w:val="0"/>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《关于修订&lt;公司章程&gt;的议案》</w:t>
            </w:r>
          </w:p>
        </w:tc>
      </w:tr>
    </w:tbl>
    <w:p w:rsidR="00564F13" w:rsidRDefault="003C47C5">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2"/>
        <w:rPr>
          <w:rFonts w:ascii="楷体" w:eastAsia="楷体" w:hAnsi="楷体" w:cs="楷体"/>
          <w:b/>
          <w:bCs/>
          <w:color w:val="000000" w:themeColor="text1"/>
          <w:sz w:val="24"/>
          <w:szCs w:val="24"/>
        </w:rPr>
      </w:pPr>
      <w:r>
        <w:rPr>
          <w:rFonts w:ascii="楷体" w:eastAsia="楷体" w:hAnsi="楷体" w:cs="楷体" w:hint="eastAsia"/>
          <w:b/>
          <w:bCs/>
          <w:color w:val="000000" w:themeColor="text1"/>
          <w:sz w:val="24"/>
          <w:szCs w:val="24"/>
        </w:rPr>
        <w:t>（二）董事会对股东大会决议的执行情况</w:t>
      </w:r>
    </w:p>
    <w:p w:rsidR="00564F13" w:rsidRDefault="003C47C5">
      <w:pPr>
        <w:adjustRightInd w:val="0"/>
        <w:snapToGrid w:val="0"/>
        <w:spacing w:line="360" w:lineRule="auto"/>
        <w:ind w:firstLineChars="200" w:firstLine="480"/>
        <w:rPr>
          <w:rFonts w:ascii="Times New Roman" w:hAnsi="Times New Roman"/>
          <w:bCs/>
          <w:color w:val="000000" w:themeColor="text1"/>
          <w:sz w:val="24"/>
          <w:szCs w:val="24"/>
        </w:rPr>
      </w:pPr>
      <w:r>
        <w:rPr>
          <w:rFonts w:ascii="Times New Roman" w:hAnsi="Times New Roman"/>
          <w:bCs/>
          <w:color w:val="000000" w:themeColor="text1"/>
          <w:sz w:val="24"/>
          <w:szCs w:val="24"/>
        </w:rPr>
        <w:t>报告期</w:t>
      </w:r>
      <w:r>
        <w:rPr>
          <w:rFonts w:ascii="Times New Roman" w:hAnsi="Times New Roman"/>
          <w:bCs/>
          <w:sz w:val="24"/>
          <w:szCs w:val="24"/>
        </w:rPr>
        <w:t>内</w:t>
      </w:r>
      <w:r>
        <w:rPr>
          <w:rFonts w:ascii="Times New Roman" w:hAnsi="Times New Roman" w:hint="eastAsia"/>
          <w:bCs/>
          <w:sz w:val="24"/>
          <w:szCs w:val="24"/>
        </w:rPr>
        <w:t>，</w:t>
      </w:r>
      <w:r>
        <w:rPr>
          <w:rFonts w:ascii="Times New Roman" w:hAnsi="Times New Roman"/>
          <w:bCs/>
          <w:color w:val="000000" w:themeColor="text1"/>
          <w:sz w:val="24"/>
          <w:szCs w:val="24"/>
        </w:rPr>
        <w:t>公司董事会</w:t>
      </w:r>
      <w:r>
        <w:rPr>
          <w:rFonts w:ascii="Times New Roman" w:hAnsi="Times New Roman" w:hint="eastAsia"/>
          <w:bCs/>
          <w:color w:val="000000" w:themeColor="text1"/>
          <w:sz w:val="24"/>
          <w:szCs w:val="24"/>
        </w:rPr>
        <w:t>根据《公司法》《证券法》等相关法律规定及《公司章程》要求，</w:t>
      </w:r>
      <w:r>
        <w:rPr>
          <w:rFonts w:ascii="Times New Roman" w:hAnsi="Times New Roman"/>
          <w:bCs/>
          <w:color w:val="000000" w:themeColor="text1"/>
          <w:sz w:val="24"/>
          <w:szCs w:val="24"/>
        </w:rPr>
        <w:t>严格按照股东大会的授权，认真执行了股东大会审议通过的各项决议。报告期内，公司共召开了</w:t>
      </w:r>
      <w:r>
        <w:rPr>
          <w:rFonts w:ascii="Times New Roman" w:hAnsi="Times New Roman" w:hint="eastAsia"/>
          <w:bCs/>
          <w:color w:val="000000" w:themeColor="text1"/>
          <w:sz w:val="24"/>
          <w:szCs w:val="24"/>
        </w:rPr>
        <w:t>4</w:t>
      </w:r>
      <w:r>
        <w:rPr>
          <w:rFonts w:ascii="Times New Roman" w:hAnsi="Times New Roman"/>
          <w:bCs/>
          <w:color w:val="000000" w:themeColor="text1"/>
          <w:sz w:val="24"/>
          <w:szCs w:val="24"/>
        </w:rPr>
        <w:t>次股东大会，具体如下：</w:t>
      </w:r>
    </w:p>
    <w:p w:rsidR="00564F13" w:rsidRDefault="00564F13">
      <w:pPr>
        <w:adjustRightInd w:val="0"/>
        <w:snapToGrid w:val="0"/>
        <w:spacing w:line="360" w:lineRule="auto"/>
        <w:ind w:firstLineChars="200" w:firstLine="480"/>
        <w:rPr>
          <w:rFonts w:ascii="Times New Roman" w:hAnsi="Times New Roman"/>
          <w:bCs/>
          <w:color w:val="000000" w:themeColor="text1"/>
          <w:sz w:val="24"/>
          <w:szCs w:val="24"/>
        </w:rPr>
      </w:pPr>
    </w:p>
    <w:tbl>
      <w:tblPr>
        <w:tblStyle w:val="aa"/>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417"/>
        <w:gridCol w:w="6231"/>
      </w:tblGrid>
      <w:tr w:rsidR="00564F13">
        <w:tc>
          <w:tcPr>
            <w:tcW w:w="1526" w:type="dxa"/>
            <w:vAlign w:val="center"/>
          </w:tcPr>
          <w:p w:rsidR="00564F13" w:rsidRDefault="003C47C5">
            <w:pPr>
              <w:pStyle w:val="Default"/>
              <w:snapToGrid w:val="0"/>
              <w:spacing w:line="360" w:lineRule="auto"/>
              <w:jc w:val="center"/>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lastRenderedPageBreak/>
              <w:t>会议届次</w:t>
            </w:r>
          </w:p>
        </w:tc>
        <w:tc>
          <w:tcPr>
            <w:tcW w:w="1417" w:type="dxa"/>
            <w:vAlign w:val="center"/>
          </w:tcPr>
          <w:p w:rsidR="00564F13" w:rsidRDefault="003C47C5">
            <w:pPr>
              <w:pStyle w:val="Default"/>
              <w:snapToGrid w:val="0"/>
              <w:spacing w:line="360" w:lineRule="auto"/>
              <w:jc w:val="center"/>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t>会议时间</w:t>
            </w:r>
          </w:p>
        </w:tc>
        <w:tc>
          <w:tcPr>
            <w:tcW w:w="6231" w:type="dxa"/>
          </w:tcPr>
          <w:p w:rsidR="00564F13" w:rsidRDefault="003C47C5">
            <w:pPr>
              <w:pStyle w:val="Default"/>
              <w:snapToGrid w:val="0"/>
              <w:spacing w:line="360" w:lineRule="auto"/>
              <w:jc w:val="center"/>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t>审议议案</w:t>
            </w:r>
          </w:p>
        </w:tc>
      </w:tr>
      <w:tr w:rsidR="00564F13">
        <w:tc>
          <w:tcPr>
            <w:tcW w:w="1526"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2021年第一次临时股东大会</w:t>
            </w:r>
          </w:p>
        </w:tc>
        <w:tc>
          <w:tcPr>
            <w:tcW w:w="1417"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2021年2月8日</w:t>
            </w:r>
          </w:p>
        </w:tc>
        <w:tc>
          <w:tcPr>
            <w:tcW w:w="6231" w:type="dxa"/>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《关于受让产业基金持有的中百生鲜股权暨关联交易的议案》</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《关于中百超市受让产业基金持有的中百便利店股权暨关联交易的议案》</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《关于补选公司董事的议案》</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《关于修订&lt;公司章程&gt;的议案》</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《关于修订&lt;股东大会议事规则&gt;的议案》</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《关于修订&lt;董事会议事规则&gt;的议案》</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《关于修订&lt;监事会议事规则&gt;的议案》</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《关于修订&lt;独立董事制度&gt;的议案》</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《关于修订&lt;募集资金管理办法&gt;的议案》</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《关于制定&lt;关联交易管理制度&gt;的议案》</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《关于制定&lt;对外投资管理制度&gt;的议案》</w:t>
            </w:r>
          </w:p>
        </w:tc>
      </w:tr>
      <w:tr w:rsidR="00564F13">
        <w:tc>
          <w:tcPr>
            <w:tcW w:w="1526"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2021年第二次临时股东大会</w:t>
            </w:r>
          </w:p>
        </w:tc>
        <w:tc>
          <w:tcPr>
            <w:tcW w:w="1417"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2021年3月25日</w:t>
            </w:r>
          </w:p>
        </w:tc>
        <w:tc>
          <w:tcPr>
            <w:tcW w:w="6231" w:type="dxa"/>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《关于公司董事会换届暨选举第十届董事会非独立董事候选人的议案》</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《关于公司董事会换届暨选举第十届董事会独立董事候选人的议案》</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《关于公司监事会换届暨选举第十届监事会非职工监事的议案》</w:t>
            </w:r>
          </w:p>
        </w:tc>
      </w:tr>
      <w:tr w:rsidR="00564F13">
        <w:tc>
          <w:tcPr>
            <w:tcW w:w="1526"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2020年度股东大会</w:t>
            </w:r>
          </w:p>
        </w:tc>
        <w:tc>
          <w:tcPr>
            <w:tcW w:w="1417"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2021年4月26日</w:t>
            </w:r>
          </w:p>
        </w:tc>
        <w:tc>
          <w:tcPr>
            <w:tcW w:w="6231" w:type="dxa"/>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《公司2020年度董事会工作报告》</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《公司2020年度监事会工作报告》</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《公司2020年年度报告正文及摘要》</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《公司2020年度财务决算报告》</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《公司2020年度利润分配预案》</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《关于预计2021年日常关联交易的议案》</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《关于办理银行授信和保函的议案》</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《关于为子公司提供担保的议案》</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《关于续聘中审众环会计师事务所（特殊普通合伙）的议案》</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《关于使用自有闲置资金购买理财产品的议案》</w:t>
            </w:r>
          </w:p>
        </w:tc>
      </w:tr>
      <w:tr w:rsidR="00564F13">
        <w:tc>
          <w:tcPr>
            <w:tcW w:w="1526"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2021年第三次临时股东大会</w:t>
            </w:r>
          </w:p>
        </w:tc>
        <w:tc>
          <w:tcPr>
            <w:tcW w:w="1417" w:type="dxa"/>
            <w:vAlign w:val="center"/>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2021年7月26日</w:t>
            </w:r>
          </w:p>
        </w:tc>
        <w:tc>
          <w:tcPr>
            <w:tcW w:w="6231" w:type="dxa"/>
          </w:tcPr>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《关于第一大股东变更承诺的议案》</w:t>
            </w:r>
          </w:p>
          <w:p w:rsidR="00564F13" w:rsidRDefault="003C47C5">
            <w:pPr>
              <w:pStyle w:val="Default"/>
              <w:snapToGrid w:val="0"/>
              <w:jc w:val="both"/>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《关于补选公司独立董事的议案》</w:t>
            </w:r>
          </w:p>
        </w:tc>
      </w:tr>
    </w:tbl>
    <w:p w:rsidR="00564F13" w:rsidRDefault="003C47C5">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2"/>
        <w:rPr>
          <w:rFonts w:ascii="楷体" w:eastAsia="楷体" w:hAnsi="楷体" w:cs="楷体"/>
          <w:b/>
          <w:bCs/>
          <w:color w:val="000000" w:themeColor="text1"/>
          <w:sz w:val="24"/>
          <w:szCs w:val="24"/>
        </w:rPr>
      </w:pPr>
      <w:r>
        <w:rPr>
          <w:rFonts w:ascii="楷体" w:eastAsia="楷体" w:hAnsi="楷体" w:cs="楷体" w:hint="eastAsia"/>
          <w:b/>
          <w:bCs/>
          <w:color w:val="000000" w:themeColor="text1"/>
          <w:sz w:val="24"/>
          <w:szCs w:val="24"/>
        </w:rPr>
        <w:t>（三）董事会下设的各专门委员会履职情况</w:t>
      </w:r>
    </w:p>
    <w:p w:rsidR="00564F13" w:rsidRDefault="003C47C5">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2"/>
        <w:rPr>
          <w:rFonts w:ascii="Times New Roman" w:eastAsiaTheme="minorEastAsia" w:hAnsiTheme="minorEastAsia"/>
          <w:bCs/>
          <w:color w:val="000000" w:themeColor="text1"/>
          <w:sz w:val="24"/>
          <w:szCs w:val="24"/>
        </w:rPr>
      </w:pPr>
      <w:r>
        <w:rPr>
          <w:rFonts w:ascii="Times New Roman" w:eastAsiaTheme="minorEastAsia" w:hAnsiTheme="minorEastAsia" w:hint="eastAsia"/>
          <w:b/>
          <w:bCs/>
          <w:color w:val="000000" w:themeColor="text1"/>
          <w:sz w:val="24"/>
          <w:szCs w:val="24"/>
        </w:rPr>
        <w:t xml:space="preserve">1. </w:t>
      </w:r>
      <w:r>
        <w:rPr>
          <w:rFonts w:ascii="Times New Roman" w:eastAsiaTheme="minorEastAsia" w:hAnsiTheme="minorEastAsia" w:hint="eastAsia"/>
          <w:b/>
          <w:bCs/>
          <w:color w:val="000000" w:themeColor="text1"/>
          <w:sz w:val="24"/>
          <w:szCs w:val="24"/>
        </w:rPr>
        <w:t>战略委员会：</w:t>
      </w:r>
      <w:r>
        <w:rPr>
          <w:rFonts w:ascii="Times New Roman" w:eastAsiaTheme="minorEastAsia" w:hAnsiTheme="minorEastAsia" w:hint="eastAsia"/>
          <w:bCs/>
          <w:color w:val="000000" w:themeColor="text1"/>
          <w:sz w:val="24"/>
          <w:szCs w:val="24"/>
        </w:rPr>
        <w:t>报告期内，战略委员会共召开</w:t>
      </w:r>
      <w:r>
        <w:rPr>
          <w:rFonts w:ascii="Times New Roman" w:eastAsiaTheme="minorEastAsia" w:hAnsiTheme="minorEastAsia" w:hint="eastAsia"/>
          <w:bCs/>
          <w:color w:val="000000" w:themeColor="text1"/>
          <w:sz w:val="24"/>
          <w:szCs w:val="24"/>
        </w:rPr>
        <w:t>2</w:t>
      </w:r>
      <w:r>
        <w:rPr>
          <w:rFonts w:ascii="Times New Roman" w:eastAsiaTheme="minorEastAsia" w:hAnsiTheme="minorEastAsia" w:hint="eastAsia"/>
          <w:bCs/>
          <w:color w:val="000000" w:themeColor="text1"/>
          <w:sz w:val="24"/>
          <w:szCs w:val="24"/>
        </w:rPr>
        <w:t>次会议，对公司“十四五”战略发展规划、子公司吸收合并、投资设立子公司等事项进行了研究，并根据现有的战略规划和公司自身发展情况，对公司未来战略发展提出建议。</w:t>
      </w:r>
    </w:p>
    <w:p w:rsidR="00564F13" w:rsidRDefault="003C47C5">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2"/>
        <w:rPr>
          <w:rFonts w:ascii="Times New Roman" w:eastAsiaTheme="minorEastAsia" w:hAnsiTheme="minorEastAsia"/>
          <w:bCs/>
          <w:color w:val="000000" w:themeColor="text1"/>
          <w:sz w:val="24"/>
          <w:szCs w:val="24"/>
        </w:rPr>
      </w:pPr>
      <w:r>
        <w:rPr>
          <w:rFonts w:ascii="Times New Roman" w:eastAsiaTheme="minorEastAsia" w:hAnsiTheme="minorEastAsia" w:hint="eastAsia"/>
          <w:b/>
          <w:bCs/>
          <w:color w:val="000000" w:themeColor="text1"/>
          <w:sz w:val="24"/>
          <w:szCs w:val="24"/>
        </w:rPr>
        <w:t xml:space="preserve">2. </w:t>
      </w:r>
      <w:r>
        <w:rPr>
          <w:rFonts w:ascii="Times New Roman" w:eastAsiaTheme="minorEastAsia" w:hAnsiTheme="minorEastAsia" w:hint="eastAsia"/>
          <w:b/>
          <w:bCs/>
          <w:color w:val="000000" w:themeColor="text1"/>
          <w:sz w:val="24"/>
          <w:szCs w:val="24"/>
        </w:rPr>
        <w:t>审计委员会：</w:t>
      </w:r>
      <w:r>
        <w:rPr>
          <w:rFonts w:ascii="Times New Roman" w:eastAsiaTheme="minorEastAsia" w:hAnsiTheme="minorEastAsia" w:hint="eastAsia"/>
          <w:bCs/>
          <w:color w:val="000000" w:themeColor="text1"/>
          <w:sz w:val="24"/>
          <w:szCs w:val="24"/>
        </w:rPr>
        <w:t>报告期内，审计委员会共召开</w:t>
      </w:r>
      <w:r>
        <w:rPr>
          <w:rFonts w:ascii="Times New Roman" w:eastAsiaTheme="minorEastAsia" w:hAnsiTheme="minorEastAsia" w:hint="eastAsia"/>
          <w:bCs/>
          <w:color w:val="000000" w:themeColor="text1"/>
          <w:sz w:val="24"/>
          <w:szCs w:val="24"/>
        </w:rPr>
        <w:t>6</w:t>
      </w:r>
      <w:r>
        <w:rPr>
          <w:rFonts w:ascii="Times New Roman" w:eastAsiaTheme="minorEastAsia" w:hAnsiTheme="minorEastAsia" w:hint="eastAsia"/>
          <w:bCs/>
          <w:color w:val="000000" w:themeColor="text1"/>
          <w:sz w:val="24"/>
          <w:szCs w:val="24"/>
        </w:rPr>
        <w:t>次会议，对公司定期报告、内部审计工作报告等相关事项进行审议。审计委员会积极开展年报相关工作，督促会计师事务所在约定时限内提交审计报告，对公司编制的财务报表发表意见，在公司年报审计过程中发挥了积极的作用。</w:t>
      </w:r>
    </w:p>
    <w:p w:rsidR="00564F13" w:rsidRDefault="003C47C5">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2"/>
        <w:rPr>
          <w:rFonts w:ascii="Times New Roman" w:eastAsiaTheme="minorEastAsia" w:hAnsiTheme="minorEastAsia"/>
          <w:bCs/>
          <w:color w:val="000000" w:themeColor="text1"/>
          <w:sz w:val="24"/>
          <w:szCs w:val="24"/>
        </w:rPr>
      </w:pPr>
      <w:r>
        <w:rPr>
          <w:rFonts w:ascii="Times New Roman" w:eastAsiaTheme="minorEastAsia" w:hAnsiTheme="minorEastAsia" w:hint="eastAsia"/>
          <w:b/>
          <w:bCs/>
          <w:color w:val="000000" w:themeColor="text1"/>
          <w:sz w:val="24"/>
          <w:szCs w:val="24"/>
        </w:rPr>
        <w:t xml:space="preserve">3. </w:t>
      </w:r>
      <w:r>
        <w:rPr>
          <w:rFonts w:ascii="Times New Roman" w:eastAsiaTheme="minorEastAsia" w:hAnsiTheme="minorEastAsia" w:hint="eastAsia"/>
          <w:b/>
          <w:bCs/>
          <w:color w:val="000000" w:themeColor="text1"/>
          <w:sz w:val="24"/>
          <w:szCs w:val="24"/>
        </w:rPr>
        <w:t>薪酬与考核委员会：</w:t>
      </w:r>
      <w:r>
        <w:rPr>
          <w:rFonts w:ascii="Times New Roman" w:eastAsiaTheme="minorEastAsia" w:hAnsiTheme="minorEastAsia" w:hint="eastAsia"/>
          <w:bCs/>
          <w:color w:val="000000" w:themeColor="text1"/>
          <w:sz w:val="24"/>
          <w:szCs w:val="24"/>
        </w:rPr>
        <w:t>报告期内，薪酬与考核委员会共召开</w:t>
      </w:r>
      <w:r>
        <w:rPr>
          <w:rFonts w:ascii="Times New Roman" w:eastAsiaTheme="minorEastAsia" w:hAnsiTheme="minorEastAsia" w:hint="eastAsia"/>
          <w:bCs/>
          <w:color w:val="000000" w:themeColor="text1"/>
          <w:sz w:val="24"/>
          <w:szCs w:val="24"/>
        </w:rPr>
        <w:t>2</w:t>
      </w:r>
      <w:r>
        <w:rPr>
          <w:rFonts w:ascii="Times New Roman" w:eastAsiaTheme="minorEastAsia" w:hAnsiTheme="minorEastAsia" w:hint="eastAsia"/>
          <w:bCs/>
          <w:color w:val="000000" w:themeColor="text1"/>
          <w:sz w:val="24"/>
          <w:szCs w:val="24"/>
        </w:rPr>
        <w:t>次会议，对公司高级管理人员绩效情况进行考核，并根据考核结果及薪酬管理办法提出了</w:t>
      </w:r>
      <w:r>
        <w:rPr>
          <w:rFonts w:ascii="Times New Roman" w:eastAsiaTheme="minorEastAsia" w:hAnsiTheme="minorEastAsia" w:hint="eastAsia"/>
          <w:bCs/>
          <w:color w:val="000000" w:themeColor="text1"/>
          <w:sz w:val="24"/>
          <w:szCs w:val="24"/>
        </w:rPr>
        <w:t>2020</w:t>
      </w:r>
      <w:r>
        <w:rPr>
          <w:rFonts w:ascii="Times New Roman" w:eastAsiaTheme="minorEastAsia" w:hAnsiTheme="minorEastAsia" w:hint="eastAsia"/>
          <w:bCs/>
          <w:color w:val="000000" w:themeColor="text1"/>
          <w:sz w:val="24"/>
          <w:szCs w:val="24"/>
        </w:rPr>
        <w:t>年度绩效薪酬兑付方案。同时，为进一步建立健全有效的激励与约束机制，增强企业活力、创</w:t>
      </w:r>
      <w:r>
        <w:rPr>
          <w:rFonts w:ascii="Times New Roman" w:eastAsiaTheme="minorEastAsia" w:hAnsiTheme="minorEastAsia" w:hint="eastAsia"/>
          <w:bCs/>
          <w:color w:val="000000" w:themeColor="text1"/>
          <w:sz w:val="24"/>
          <w:szCs w:val="24"/>
        </w:rPr>
        <w:lastRenderedPageBreak/>
        <w:t>造力、市场竞争力和抗风险能力，薪酬与考核委员会制定了《中百控股集团股份有限公司企业负责人薪酬与经营业绩考核管理办法》。</w:t>
      </w:r>
    </w:p>
    <w:p w:rsidR="00564F13" w:rsidRDefault="003C47C5">
      <w:pPr>
        <w:adjustRightInd w:val="0"/>
        <w:snapToGrid w:val="0"/>
        <w:spacing w:line="360" w:lineRule="auto"/>
        <w:ind w:firstLineChars="200" w:firstLine="482"/>
        <w:rPr>
          <w:rFonts w:ascii="Times New Roman" w:eastAsiaTheme="minorEastAsia" w:hAnsiTheme="minorEastAsia"/>
          <w:bCs/>
          <w:color w:val="000000" w:themeColor="text1"/>
          <w:sz w:val="24"/>
          <w:szCs w:val="24"/>
        </w:rPr>
      </w:pPr>
      <w:r>
        <w:rPr>
          <w:rFonts w:ascii="Times New Roman" w:eastAsiaTheme="minorEastAsia" w:hAnsiTheme="minorEastAsia" w:hint="eastAsia"/>
          <w:b/>
          <w:bCs/>
          <w:color w:val="000000" w:themeColor="text1"/>
          <w:sz w:val="24"/>
          <w:szCs w:val="24"/>
        </w:rPr>
        <w:t xml:space="preserve">4. </w:t>
      </w:r>
      <w:r>
        <w:rPr>
          <w:rFonts w:ascii="Times New Roman" w:eastAsiaTheme="minorEastAsia" w:hAnsiTheme="minorEastAsia" w:hint="eastAsia"/>
          <w:b/>
          <w:bCs/>
          <w:color w:val="000000" w:themeColor="text1"/>
          <w:sz w:val="24"/>
          <w:szCs w:val="24"/>
        </w:rPr>
        <w:t>提名委员会：</w:t>
      </w:r>
      <w:r>
        <w:rPr>
          <w:rFonts w:ascii="Times New Roman" w:eastAsiaTheme="minorEastAsia" w:hAnsiTheme="minorEastAsia" w:hint="eastAsia"/>
          <w:bCs/>
          <w:color w:val="000000" w:themeColor="text1"/>
          <w:sz w:val="24"/>
          <w:szCs w:val="24"/>
        </w:rPr>
        <w:t>报告期内，提名委员会共召开</w:t>
      </w:r>
      <w:r>
        <w:rPr>
          <w:rFonts w:ascii="Times New Roman" w:eastAsiaTheme="minorEastAsia" w:hAnsiTheme="minorEastAsia" w:hint="eastAsia"/>
          <w:bCs/>
          <w:color w:val="000000" w:themeColor="text1"/>
          <w:sz w:val="24"/>
          <w:szCs w:val="24"/>
        </w:rPr>
        <w:t>4</w:t>
      </w:r>
      <w:r>
        <w:rPr>
          <w:rFonts w:ascii="Times New Roman" w:eastAsiaTheme="minorEastAsia" w:hAnsiTheme="minorEastAsia" w:hint="eastAsia"/>
          <w:bCs/>
          <w:color w:val="000000" w:themeColor="text1"/>
          <w:sz w:val="24"/>
          <w:szCs w:val="24"/>
        </w:rPr>
        <w:t>次会议，提名委员会按照《公司章程》《提名委员会</w:t>
      </w:r>
      <w:r w:rsidR="006864A6">
        <w:rPr>
          <w:rFonts w:ascii="Times New Roman" w:eastAsiaTheme="minorEastAsia" w:hAnsiTheme="minorEastAsia" w:hint="eastAsia"/>
          <w:bCs/>
          <w:color w:val="000000" w:themeColor="text1"/>
          <w:sz w:val="24"/>
          <w:szCs w:val="24"/>
        </w:rPr>
        <w:t>实施细则</w:t>
      </w:r>
      <w:r>
        <w:rPr>
          <w:rFonts w:ascii="Times New Roman" w:eastAsiaTheme="minorEastAsia" w:hAnsiTheme="minorEastAsia" w:hint="eastAsia"/>
          <w:bCs/>
          <w:color w:val="000000" w:themeColor="text1"/>
          <w:sz w:val="24"/>
          <w:szCs w:val="24"/>
        </w:rPr>
        <w:t>》，对公司第十届董事会董事、高级管理人员候选人的任职资格及选聘程序进行了审查，其任职资格经提名委员会审核后提交公司董事会审议通过。</w:t>
      </w:r>
    </w:p>
    <w:p w:rsidR="00564F13" w:rsidRDefault="003C47C5">
      <w:pPr>
        <w:adjustRightInd w:val="0"/>
        <w:snapToGrid w:val="0"/>
        <w:spacing w:line="360" w:lineRule="auto"/>
        <w:ind w:firstLineChars="200" w:firstLine="482"/>
        <w:rPr>
          <w:rFonts w:ascii="楷体" w:eastAsia="楷体" w:hAnsi="楷体" w:cs="楷体"/>
          <w:b/>
          <w:bCs/>
          <w:color w:val="000000" w:themeColor="text1"/>
          <w:sz w:val="24"/>
          <w:szCs w:val="24"/>
        </w:rPr>
      </w:pPr>
      <w:r>
        <w:rPr>
          <w:rFonts w:ascii="楷体" w:eastAsia="楷体" w:hAnsi="楷体" w:cs="楷体" w:hint="eastAsia"/>
          <w:b/>
          <w:bCs/>
          <w:color w:val="000000" w:themeColor="text1"/>
          <w:sz w:val="24"/>
          <w:szCs w:val="24"/>
        </w:rPr>
        <w:t>（四）独立董事履职情况</w:t>
      </w:r>
    </w:p>
    <w:p w:rsidR="00564F13" w:rsidRDefault="003C47C5">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公司独立董事严格按照法律法规的要求，在2021年度工作中诚实、勤勉、独立地履行职责，积极出席董事会和股东大会会议，认真审议董事会各项议案，依据自己的专业水平，客观充分地表达意见，促进公司董事会决策及决策程序的科学化，推进公司内控制度建设，维护公司整体利益特别是中小股东的合法权益。同时，公司独立董事积极关注公司经营情况，多次深入公司基层门店考察，对公司经营与管理建言献策。报告期内，独立董事根据有关规定，对公司重大事项发表了事前认可意见和独立意见，充分发挥了独立董事的作用。</w:t>
      </w:r>
    </w:p>
    <w:p w:rsidR="00564F13" w:rsidRDefault="003C47C5">
      <w:pPr>
        <w:adjustRightInd w:val="0"/>
        <w:snapToGrid w:val="0"/>
        <w:spacing w:line="360" w:lineRule="auto"/>
        <w:ind w:firstLineChars="200" w:firstLine="480"/>
        <w:rPr>
          <w:rFonts w:ascii="黑体" w:eastAsia="黑体" w:hAnsi="黑体" w:cs="黑体"/>
          <w:bCs/>
          <w:color w:val="000000" w:themeColor="text1"/>
          <w:kern w:val="0"/>
          <w:sz w:val="24"/>
          <w:szCs w:val="24"/>
          <w:lang w:val="zh-CN"/>
        </w:rPr>
      </w:pPr>
      <w:r>
        <w:rPr>
          <w:rFonts w:ascii="黑体" w:eastAsia="黑体" w:hAnsi="黑体" w:cs="黑体" w:hint="eastAsia"/>
          <w:bCs/>
          <w:color w:val="000000" w:themeColor="text1"/>
          <w:kern w:val="0"/>
          <w:sz w:val="24"/>
          <w:szCs w:val="24"/>
          <w:lang w:val="zh-CN"/>
        </w:rPr>
        <w:t>四、公司未来发展战略及202</w:t>
      </w:r>
      <w:r>
        <w:rPr>
          <w:rFonts w:ascii="黑体" w:eastAsia="黑体" w:hAnsi="黑体" w:cs="黑体" w:hint="eastAsia"/>
          <w:bCs/>
          <w:color w:val="000000" w:themeColor="text1"/>
          <w:kern w:val="0"/>
          <w:sz w:val="24"/>
          <w:szCs w:val="24"/>
        </w:rPr>
        <w:t>2</w:t>
      </w:r>
      <w:r>
        <w:rPr>
          <w:rFonts w:ascii="黑体" w:eastAsia="黑体" w:hAnsi="黑体" w:cs="黑体" w:hint="eastAsia"/>
          <w:bCs/>
          <w:color w:val="000000" w:themeColor="text1"/>
          <w:kern w:val="0"/>
          <w:sz w:val="24"/>
          <w:szCs w:val="24"/>
          <w:lang w:val="zh-CN"/>
        </w:rPr>
        <w:t>年工作计划</w:t>
      </w:r>
    </w:p>
    <w:p w:rsidR="00564F13" w:rsidRDefault="003C47C5">
      <w:pPr>
        <w:autoSpaceDE w:val="0"/>
        <w:autoSpaceDN w:val="0"/>
        <w:adjustRightInd w:val="0"/>
        <w:snapToGrid w:val="0"/>
        <w:spacing w:line="360" w:lineRule="auto"/>
        <w:ind w:firstLineChars="200" w:firstLine="482"/>
        <w:rPr>
          <w:rFonts w:ascii="楷体" w:eastAsia="楷体" w:hAnsi="楷体" w:cs="楷体"/>
          <w:b/>
          <w:color w:val="000000" w:themeColor="text1"/>
          <w:kern w:val="0"/>
          <w:sz w:val="24"/>
          <w:szCs w:val="24"/>
          <w:lang w:val="zh-CN"/>
        </w:rPr>
      </w:pPr>
      <w:r>
        <w:rPr>
          <w:rFonts w:ascii="楷体" w:eastAsia="楷体" w:hAnsi="楷体" w:cs="楷体" w:hint="eastAsia"/>
          <w:b/>
          <w:color w:val="000000" w:themeColor="text1"/>
          <w:kern w:val="0"/>
          <w:sz w:val="24"/>
          <w:szCs w:val="24"/>
          <w:lang w:val="zh-CN"/>
        </w:rPr>
        <w:t>（一）公司发展战略</w:t>
      </w:r>
    </w:p>
    <w:p w:rsidR="00564F13" w:rsidRDefault="003C47C5">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bCs/>
          <w:color w:val="000000" w:themeColor="text1"/>
          <w:sz w:val="24"/>
          <w:szCs w:val="24"/>
        </w:rPr>
        <w:t>公司</w:t>
      </w:r>
      <w:r>
        <w:rPr>
          <w:rFonts w:asciiTheme="minorEastAsia" w:eastAsiaTheme="minorEastAsia" w:hAnsiTheme="minorEastAsia" w:hint="eastAsia"/>
          <w:bCs/>
          <w:color w:val="000000" w:themeColor="text1"/>
          <w:sz w:val="24"/>
          <w:szCs w:val="24"/>
        </w:rPr>
        <w:t>“十四五”发展战略规划可提炼为“12355”战略：</w:t>
      </w:r>
    </w:p>
    <w:p w:rsidR="00564F13" w:rsidRDefault="003C47C5">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1”是建设一个商业生态系统：围绕武汉建设国家中心城市、国家商贸物流中心、国际消费中心城市，坚持“稳中有进”工作总基调，贯彻新发展理念，肩负社会责任，以市场为导向，以客户为中心，以科技为支撑，打造成为消费者信赖的数智化、全渠道、领先的商业服务企业，建设一个有机、协同、开放、可持续发展的“商业生态系统”。</w:t>
      </w:r>
    </w:p>
    <w:p w:rsidR="00564F13" w:rsidRDefault="003C47C5">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“2”是实现营收、利润双增长目标。</w:t>
      </w:r>
    </w:p>
    <w:p w:rsidR="00564F13" w:rsidRDefault="003C47C5">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3”是打造三大产业：深耕华中区域市场，深化体制机制改革，做强做大做优连锁产业，着力打造“连锁经营、物流运营、鲜食加工”三大产业，推动形成产业分明、协同高效、齐头并进的新发展格局，进一步增强市场竞争力、影响力和抗风险能力。</w:t>
      </w:r>
    </w:p>
    <w:p w:rsidR="00564F13" w:rsidRDefault="003C47C5">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5”是实施五大战略举措：实施供应链优化战略，聚焦商品竞争力提升，建立现代化供应链体系；实施全渠道建设战略，聚焦渠道延展力提升，建立现代化连锁网络体系；实施客户精准营销战略，聚焦客户拓展力提升，建立全方位客户营销体系；实</w:t>
      </w:r>
      <w:r>
        <w:rPr>
          <w:rFonts w:asciiTheme="minorEastAsia" w:eastAsiaTheme="minorEastAsia" w:hAnsiTheme="minorEastAsia" w:hint="eastAsia"/>
          <w:bCs/>
          <w:color w:val="000000" w:themeColor="text1"/>
          <w:sz w:val="24"/>
          <w:szCs w:val="24"/>
        </w:rPr>
        <w:lastRenderedPageBreak/>
        <w:t>施数智化战略，聚焦技术支撑力提升，建立现代化数智决策管理体系；实施服务一体化战略，聚焦服务保障力提升，建立现代化供应保障体系。</w:t>
      </w:r>
    </w:p>
    <w:p w:rsidR="00564F13" w:rsidRDefault="003C47C5">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“5”是强化五大战略保障：强化党建统领；强化战略引领；强化创新驱动；强化人才支撑；强化项目保障。</w:t>
      </w:r>
    </w:p>
    <w:p w:rsidR="00564F13" w:rsidRDefault="003C47C5">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2"/>
        <w:rPr>
          <w:rFonts w:ascii="楷体" w:eastAsia="楷体" w:hAnsi="楷体" w:cs="楷体"/>
          <w:b/>
          <w:bCs/>
          <w:color w:val="000000" w:themeColor="text1"/>
          <w:sz w:val="24"/>
          <w:szCs w:val="24"/>
        </w:rPr>
      </w:pPr>
      <w:r>
        <w:rPr>
          <w:rFonts w:ascii="楷体" w:eastAsia="楷体" w:hAnsi="楷体" w:cs="楷体" w:hint="eastAsia"/>
          <w:b/>
          <w:bCs/>
          <w:color w:val="000000" w:themeColor="text1"/>
          <w:sz w:val="24"/>
          <w:szCs w:val="24"/>
        </w:rPr>
        <w:t>（二）经营计划</w:t>
      </w:r>
    </w:p>
    <w:p w:rsidR="00564F13" w:rsidRDefault="003C47C5">
      <w:pPr>
        <w:autoSpaceDE w:val="0"/>
        <w:autoSpaceDN w:val="0"/>
        <w:adjustRightInd w:val="0"/>
        <w:snapToGrid w:val="0"/>
        <w:spacing w:line="360" w:lineRule="auto"/>
        <w:ind w:firstLine="480"/>
        <w:jc w:val="left"/>
        <w:rPr>
          <w:color w:val="000000"/>
          <w:kern w:val="0"/>
          <w:sz w:val="24"/>
          <w:szCs w:val="24"/>
          <w:lang w:val="zh-CN"/>
        </w:rPr>
      </w:pPr>
      <w:r>
        <w:rPr>
          <w:color w:val="000000"/>
          <w:kern w:val="0"/>
          <w:sz w:val="24"/>
          <w:szCs w:val="24"/>
          <w:lang w:val="zh-CN"/>
        </w:rPr>
        <w:t>202</w:t>
      </w:r>
      <w:r>
        <w:rPr>
          <w:rFonts w:hint="eastAsia"/>
          <w:color w:val="000000"/>
          <w:kern w:val="0"/>
          <w:sz w:val="24"/>
          <w:szCs w:val="24"/>
          <w:lang w:val="zh-CN"/>
        </w:rPr>
        <w:t>2</w:t>
      </w:r>
      <w:r>
        <w:rPr>
          <w:color w:val="000000"/>
          <w:kern w:val="0"/>
          <w:sz w:val="24"/>
          <w:szCs w:val="24"/>
          <w:lang w:val="zh-CN"/>
        </w:rPr>
        <w:t>年</w:t>
      </w:r>
      <w:r>
        <w:rPr>
          <w:rFonts w:hint="eastAsia"/>
          <w:color w:val="000000"/>
          <w:kern w:val="0"/>
          <w:sz w:val="24"/>
          <w:szCs w:val="24"/>
          <w:lang w:val="zh-CN"/>
        </w:rPr>
        <w:t>，公司坚持“稳中求进”主基调，稳中求变、变中求进，坚持战略规划目标不动摇，稳住信心、稳住队伍，进一步加快转变发展方式，突出内涵式发展，突出精</w:t>
      </w:r>
      <w:r>
        <w:rPr>
          <w:rFonts w:hint="eastAsia"/>
          <w:color w:val="000000"/>
          <w:kern w:val="0"/>
          <w:sz w:val="24"/>
          <w:szCs w:val="24"/>
        </w:rPr>
        <w:t>细</w:t>
      </w:r>
      <w:r>
        <w:rPr>
          <w:rFonts w:hint="eastAsia"/>
          <w:color w:val="000000"/>
          <w:kern w:val="0"/>
          <w:sz w:val="24"/>
          <w:szCs w:val="24"/>
          <w:lang w:val="zh-CN"/>
        </w:rPr>
        <w:t>化管理，培育新动能，再造新优势。全年计划新增商业网点</w:t>
      </w:r>
      <w:r>
        <w:rPr>
          <w:rFonts w:hint="eastAsia"/>
          <w:color w:val="000000"/>
          <w:kern w:val="0"/>
          <w:sz w:val="24"/>
          <w:szCs w:val="24"/>
          <w:lang w:val="zh-CN"/>
        </w:rPr>
        <w:t>285</w:t>
      </w:r>
      <w:r>
        <w:rPr>
          <w:rFonts w:hint="eastAsia"/>
          <w:color w:val="000000"/>
          <w:kern w:val="0"/>
          <w:sz w:val="24"/>
          <w:szCs w:val="24"/>
          <w:lang w:val="zh-CN"/>
        </w:rPr>
        <w:t>家。</w:t>
      </w:r>
    </w:p>
    <w:p w:rsidR="00564F13" w:rsidRDefault="003C47C5">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2"/>
        <w:rPr>
          <w:rFonts w:ascii="楷体" w:eastAsia="楷体" w:hAnsi="楷体" w:cs="楷体"/>
          <w:b/>
          <w:bCs/>
          <w:color w:val="000000" w:themeColor="text1"/>
          <w:sz w:val="24"/>
          <w:szCs w:val="24"/>
        </w:rPr>
      </w:pPr>
      <w:r>
        <w:rPr>
          <w:rFonts w:ascii="楷体" w:eastAsia="楷体" w:hAnsi="楷体" w:cs="楷体" w:hint="eastAsia"/>
          <w:b/>
          <w:bCs/>
          <w:color w:val="000000" w:themeColor="text1"/>
          <w:sz w:val="24"/>
          <w:szCs w:val="24"/>
        </w:rPr>
        <w:t>（三）2022年董事会工作计划</w:t>
      </w:r>
    </w:p>
    <w:p w:rsidR="00564F13" w:rsidRDefault="003C47C5">
      <w:pPr>
        <w:autoSpaceDE w:val="0"/>
        <w:autoSpaceDN w:val="0"/>
        <w:adjustRightInd w:val="0"/>
        <w:snapToGrid w:val="0"/>
        <w:spacing w:line="360" w:lineRule="auto"/>
        <w:ind w:firstLine="480"/>
        <w:jc w:val="left"/>
        <w:rPr>
          <w:rFonts w:asciiTheme="minorEastAsia" w:eastAsiaTheme="minorEastAsia" w:hAnsiTheme="minorEastAsia"/>
          <w:b/>
          <w:color w:val="000000" w:themeColor="text1"/>
          <w:sz w:val="24"/>
          <w:szCs w:val="24"/>
        </w:rPr>
      </w:pPr>
      <w:r>
        <w:rPr>
          <w:color w:val="000000"/>
          <w:kern w:val="0"/>
          <w:sz w:val="24"/>
          <w:szCs w:val="24"/>
          <w:lang w:val="zh-CN"/>
        </w:rPr>
        <w:t>202</w:t>
      </w:r>
      <w:r>
        <w:rPr>
          <w:rFonts w:hint="eastAsia"/>
          <w:color w:val="000000"/>
          <w:kern w:val="0"/>
          <w:sz w:val="24"/>
          <w:szCs w:val="24"/>
        </w:rPr>
        <w:t>2</w:t>
      </w:r>
      <w:r>
        <w:rPr>
          <w:color w:val="000000"/>
          <w:kern w:val="0"/>
          <w:sz w:val="24"/>
          <w:szCs w:val="24"/>
          <w:lang w:val="zh-CN"/>
        </w:rPr>
        <w:t>年，经济形势严峻复杂，疫情常态化的影响将</w:t>
      </w:r>
      <w:r>
        <w:rPr>
          <w:rFonts w:hint="eastAsia"/>
          <w:color w:val="000000"/>
          <w:kern w:val="0"/>
          <w:sz w:val="24"/>
          <w:szCs w:val="24"/>
          <w:lang w:val="zh-CN"/>
        </w:rPr>
        <w:t>持续</w:t>
      </w:r>
      <w:r>
        <w:rPr>
          <w:color w:val="000000"/>
          <w:kern w:val="0"/>
          <w:sz w:val="24"/>
          <w:szCs w:val="24"/>
          <w:lang w:val="zh-CN"/>
        </w:rPr>
        <w:t>显现</w:t>
      </w:r>
      <w:r>
        <w:rPr>
          <w:rFonts w:hint="eastAsia"/>
          <w:color w:val="000000"/>
          <w:kern w:val="0"/>
          <w:sz w:val="24"/>
          <w:szCs w:val="24"/>
          <w:lang w:val="zh-CN"/>
        </w:rPr>
        <w:t>，</w:t>
      </w:r>
      <w:r>
        <w:rPr>
          <w:color w:val="000000"/>
          <w:kern w:val="0"/>
          <w:sz w:val="24"/>
          <w:szCs w:val="24"/>
          <w:lang w:val="zh-CN"/>
        </w:rPr>
        <w:t>公司董事会</w:t>
      </w:r>
      <w:r>
        <w:rPr>
          <w:rFonts w:hint="eastAsia"/>
          <w:color w:val="000000"/>
          <w:kern w:val="0"/>
          <w:sz w:val="24"/>
          <w:szCs w:val="24"/>
          <w:lang w:val="zh-CN"/>
        </w:rPr>
        <w:t>将继续加强对宏观经济和行业发展趋势的研究，提高决策水平；针对公司业务发展的形势，完善各项管理制度及风险控制体系，提高管理水平及防控经营风险；进一步加强对管理层的绩效考核，促进公司新年度经营目标的实现；完善各项公司治理制度，提高公司治理水平，</w:t>
      </w:r>
      <w:r>
        <w:rPr>
          <w:rFonts w:asciiTheme="minorEastAsia" w:eastAsiaTheme="minorEastAsia" w:hAnsiTheme="minorEastAsia"/>
          <w:color w:val="000000" w:themeColor="text1"/>
          <w:sz w:val="24"/>
          <w:szCs w:val="24"/>
        </w:rPr>
        <w:t>本着对全体股东负责的态度，以股东长远利益最大化为着眼点，切实有效地履行董事会职责。</w:t>
      </w:r>
    </w:p>
    <w:p w:rsidR="00564F13" w:rsidRDefault="003C47C5">
      <w:pPr>
        <w:autoSpaceDE w:val="0"/>
        <w:autoSpaceDN w:val="0"/>
        <w:adjustRightInd w:val="0"/>
        <w:snapToGrid w:val="0"/>
        <w:spacing w:line="360" w:lineRule="auto"/>
        <w:ind w:firstLine="480"/>
        <w:jc w:val="left"/>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1</w:t>
      </w:r>
      <w:r>
        <w:rPr>
          <w:rFonts w:asciiTheme="minorEastAsia" w:eastAsiaTheme="minorEastAsia" w:hAnsiTheme="minorEastAsia" w:hint="eastAsia"/>
          <w:b/>
          <w:color w:val="000000" w:themeColor="text1"/>
          <w:sz w:val="24"/>
          <w:szCs w:val="24"/>
        </w:rPr>
        <w:t>.统筹发展全局，推进战略落地</w:t>
      </w:r>
    </w:p>
    <w:p w:rsidR="00564F13" w:rsidRDefault="003C47C5">
      <w:pPr>
        <w:autoSpaceDE w:val="0"/>
        <w:autoSpaceDN w:val="0"/>
        <w:adjustRightInd w:val="0"/>
        <w:snapToGrid w:val="0"/>
        <w:spacing w:line="360" w:lineRule="auto"/>
        <w:ind w:firstLine="480"/>
        <w:jc w:val="left"/>
        <w:rPr>
          <w:color w:val="000000"/>
          <w:kern w:val="0"/>
          <w:sz w:val="24"/>
          <w:szCs w:val="24"/>
          <w:lang w:val="zh-CN"/>
        </w:rPr>
      </w:pPr>
      <w:r>
        <w:rPr>
          <w:rFonts w:hint="eastAsia"/>
          <w:color w:val="000000"/>
          <w:kern w:val="0"/>
          <w:sz w:val="24"/>
          <w:szCs w:val="24"/>
          <w:lang w:val="zh-CN"/>
        </w:rPr>
        <w:t>2022</w:t>
      </w:r>
      <w:r>
        <w:rPr>
          <w:rFonts w:hint="eastAsia"/>
          <w:color w:val="000000"/>
          <w:kern w:val="0"/>
          <w:sz w:val="24"/>
          <w:szCs w:val="24"/>
          <w:lang w:val="zh-CN"/>
        </w:rPr>
        <w:t>年是公司继续深化改革攻坚的关键</w:t>
      </w:r>
      <w:r>
        <w:rPr>
          <w:rFonts w:hint="eastAsia"/>
          <w:color w:val="000000" w:themeColor="text1"/>
          <w:kern w:val="0"/>
          <w:sz w:val="24"/>
          <w:szCs w:val="24"/>
          <w:lang w:val="zh-CN"/>
        </w:rPr>
        <w:t>之年</w:t>
      </w:r>
      <w:r>
        <w:rPr>
          <w:rFonts w:hint="eastAsia"/>
          <w:color w:val="000000"/>
          <w:kern w:val="0"/>
          <w:sz w:val="24"/>
          <w:szCs w:val="24"/>
          <w:lang w:val="zh-CN"/>
        </w:rPr>
        <w:t>，公司董事会将以</w:t>
      </w:r>
      <w:r>
        <w:rPr>
          <w:color w:val="000000"/>
          <w:kern w:val="0"/>
          <w:sz w:val="24"/>
          <w:szCs w:val="24"/>
          <w:lang w:val="zh-CN"/>
        </w:rPr>
        <w:t>质量</w:t>
      </w:r>
      <w:r>
        <w:rPr>
          <w:rFonts w:hint="eastAsia"/>
          <w:color w:val="000000"/>
          <w:kern w:val="0"/>
          <w:sz w:val="24"/>
          <w:szCs w:val="24"/>
          <w:lang w:val="zh-CN"/>
        </w:rPr>
        <w:t>与</w:t>
      </w:r>
      <w:r>
        <w:rPr>
          <w:color w:val="000000"/>
          <w:kern w:val="0"/>
          <w:sz w:val="24"/>
          <w:szCs w:val="24"/>
          <w:lang w:val="zh-CN"/>
        </w:rPr>
        <w:t>效益</w:t>
      </w:r>
      <w:r>
        <w:rPr>
          <w:rFonts w:hint="eastAsia"/>
          <w:color w:val="000000"/>
          <w:kern w:val="0"/>
          <w:sz w:val="24"/>
          <w:szCs w:val="24"/>
          <w:lang w:val="zh-CN"/>
        </w:rPr>
        <w:t>为</w:t>
      </w:r>
      <w:r>
        <w:rPr>
          <w:color w:val="000000"/>
          <w:kern w:val="0"/>
          <w:sz w:val="24"/>
          <w:szCs w:val="24"/>
          <w:lang w:val="zh-CN"/>
        </w:rPr>
        <w:t>中心，</w:t>
      </w:r>
      <w:r>
        <w:rPr>
          <w:rFonts w:hint="eastAsia"/>
          <w:color w:val="000000"/>
          <w:kern w:val="0"/>
          <w:sz w:val="24"/>
          <w:szCs w:val="24"/>
          <w:lang w:val="zh-CN"/>
        </w:rPr>
        <w:t>兼顾</w:t>
      </w:r>
      <w:r>
        <w:rPr>
          <w:color w:val="000000"/>
          <w:kern w:val="0"/>
          <w:sz w:val="24"/>
          <w:szCs w:val="24"/>
          <w:lang w:val="zh-CN"/>
        </w:rPr>
        <w:t>当前和长远，</w:t>
      </w:r>
      <w:r>
        <w:rPr>
          <w:rFonts w:hint="eastAsia"/>
          <w:color w:val="000000"/>
          <w:kern w:val="0"/>
          <w:sz w:val="24"/>
          <w:szCs w:val="24"/>
          <w:lang w:val="zh-CN"/>
        </w:rPr>
        <w:t>根据公司定位与发展战略，统筹发展全局，</w:t>
      </w:r>
      <w:r>
        <w:rPr>
          <w:color w:val="000000"/>
          <w:kern w:val="0"/>
          <w:sz w:val="24"/>
          <w:szCs w:val="24"/>
          <w:lang w:val="zh-CN"/>
        </w:rPr>
        <w:t>实现中长期规划和年度计划充分衔接</w:t>
      </w:r>
      <w:r>
        <w:rPr>
          <w:rFonts w:hint="eastAsia"/>
          <w:color w:val="000000"/>
          <w:kern w:val="0"/>
          <w:sz w:val="24"/>
          <w:szCs w:val="24"/>
          <w:lang w:val="zh-CN"/>
        </w:rPr>
        <w:t>。</w:t>
      </w:r>
      <w:r>
        <w:rPr>
          <w:color w:val="000000"/>
          <w:kern w:val="0"/>
          <w:sz w:val="24"/>
          <w:szCs w:val="24"/>
          <w:lang w:val="zh-CN"/>
        </w:rPr>
        <w:t>董事会继续发挥战略核心作用</w:t>
      </w:r>
      <w:r>
        <w:rPr>
          <w:rFonts w:hint="eastAsia"/>
          <w:color w:val="000000"/>
          <w:kern w:val="0"/>
          <w:sz w:val="24"/>
          <w:szCs w:val="24"/>
          <w:lang w:val="zh-CN"/>
        </w:rPr>
        <w:t>，</w:t>
      </w:r>
      <w:r>
        <w:rPr>
          <w:color w:val="000000"/>
          <w:kern w:val="0"/>
          <w:sz w:val="24"/>
          <w:szCs w:val="24"/>
          <w:lang w:val="zh-CN"/>
        </w:rPr>
        <w:t>主动适应形势变化，积极探索战略管理路径，构建公司现代化治理体系，对公司的重大经营管理事项科学决策、及时决策</w:t>
      </w:r>
      <w:r>
        <w:rPr>
          <w:rFonts w:hint="eastAsia"/>
          <w:color w:val="000000"/>
          <w:kern w:val="0"/>
          <w:sz w:val="24"/>
          <w:szCs w:val="24"/>
          <w:lang w:val="zh-CN"/>
        </w:rPr>
        <w:t>，推动</w:t>
      </w:r>
      <w:r>
        <w:rPr>
          <w:color w:val="000000"/>
          <w:kern w:val="0"/>
          <w:sz w:val="24"/>
          <w:szCs w:val="24"/>
          <w:lang w:val="zh-CN"/>
        </w:rPr>
        <w:t>公司</w:t>
      </w:r>
      <w:r>
        <w:rPr>
          <w:rFonts w:hint="eastAsia"/>
          <w:color w:val="000000"/>
          <w:kern w:val="0"/>
          <w:sz w:val="24"/>
          <w:szCs w:val="24"/>
          <w:lang w:val="zh-CN"/>
        </w:rPr>
        <w:t>十四五</w:t>
      </w:r>
      <w:r>
        <w:rPr>
          <w:color w:val="000000"/>
          <w:kern w:val="0"/>
          <w:sz w:val="24"/>
          <w:szCs w:val="24"/>
          <w:lang w:val="zh-CN"/>
        </w:rPr>
        <w:t>战略规划的落地。</w:t>
      </w:r>
    </w:p>
    <w:p w:rsidR="00564F13" w:rsidRDefault="003C47C5">
      <w:pPr>
        <w:autoSpaceDE w:val="0"/>
        <w:autoSpaceDN w:val="0"/>
        <w:adjustRightInd w:val="0"/>
        <w:snapToGrid w:val="0"/>
        <w:spacing w:line="360" w:lineRule="auto"/>
        <w:ind w:firstLine="480"/>
        <w:jc w:val="left"/>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2.加强考核激励，激发活力动力</w:t>
      </w:r>
    </w:p>
    <w:p w:rsidR="00564F13" w:rsidRDefault="003C47C5">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公司将根据实际情况择机推出股权激励计划或员工持股计划，构建核心管理团队持股的长期激励机制，将公司的经营业绩与员工的利益捆绑在一起，</w:t>
      </w:r>
      <w:r>
        <w:rPr>
          <w:rFonts w:ascii="宋体" w:hAnsi="宋体" w:cs="宋体" w:hint="eastAsia"/>
          <w:sz w:val="24"/>
          <w:szCs w:val="24"/>
        </w:rPr>
        <w:t>促进公司建立健全激励约束机制，吸引和留住人才，充分调动公司中高层管理人员、核心骨干人员的积极性、责任感和使命感，</w:t>
      </w:r>
      <w:r>
        <w:rPr>
          <w:rFonts w:asciiTheme="minorEastAsia" w:eastAsiaTheme="minorEastAsia" w:hAnsiTheme="minorEastAsia" w:hint="eastAsia"/>
          <w:color w:val="000000" w:themeColor="text1"/>
          <w:sz w:val="24"/>
          <w:szCs w:val="24"/>
        </w:rPr>
        <w:t>激发活力动力，推动公司持续稳定的业绩增长与公司战略实现，确保股东利益、公司利益和员工利益的一致性。</w:t>
      </w:r>
    </w:p>
    <w:p w:rsidR="00564F13" w:rsidRDefault="003C47C5">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2"/>
        <w:rPr>
          <w:rFonts w:asciiTheme="minorEastAsia" w:eastAsiaTheme="minorEastAsia" w:hAnsiTheme="minorEastAsia"/>
          <w:color w:val="000000" w:themeColor="text1"/>
          <w:sz w:val="24"/>
          <w:szCs w:val="24"/>
        </w:rPr>
      </w:pPr>
      <w:r>
        <w:rPr>
          <w:rFonts w:asciiTheme="minorEastAsia" w:eastAsiaTheme="minorEastAsia" w:hAnsiTheme="minorEastAsia" w:hint="eastAsia"/>
          <w:b/>
          <w:sz w:val="24"/>
          <w:szCs w:val="24"/>
        </w:rPr>
        <w:t>3.强化目标</w:t>
      </w:r>
      <w:bookmarkStart w:id="0" w:name="_GoBack"/>
      <w:bookmarkEnd w:id="0"/>
      <w:r>
        <w:rPr>
          <w:rFonts w:asciiTheme="minorEastAsia" w:eastAsiaTheme="minorEastAsia" w:hAnsiTheme="minorEastAsia" w:hint="eastAsia"/>
          <w:b/>
          <w:sz w:val="24"/>
          <w:szCs w:val="24"/>
        </w:rPr>
        <w:t>管控，深化改革创新</w:t>
      </w:r>
    </w:p>
    <w:p w:rsidR="00564F13" w:rsidRDefault="003C47C5">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pPr>
      <w:r>
        <w:rPr>
          <w:rFonts w:asciiTheme="minorEastAsia" w:eastAsiaTheme="minorEastAsia" w:hAnsiTheme="minorEastAsia" w:hint="eastAsia"/>
          <w:color w:val="000000" w:themeColor="text1"/>
          <w:sz w:val="24"/>
          <w:szCs w:val="24"/>
        </w:rPr>
        <w:t>公司董事会将加强对经理层的计划管控，</w:t>
      </w:r>
      <w:r>
        <w:rPr>
          <w:rFonts w:asciiTheme="minorEastAsia" w:eastAsiaTheme="minorEastAsia" w:hAnsiTheme="minorEastAsia"/>
          <w:color w:val="000000" w:themeColor="text1"/>
          <w:sz w:val="24"/>
          <w:szCs w:val="24"/>
        </w:rPr>
        <w:t>以指标测算、分解、调度、考核为主线，</w:t>
      </w:r>
      <w:r>
        <w:rPr>
          <w:rFonts w:asciiTheme="minorEastAsia" w:eastAsiaTheme="minorEastAsia" w:hAnsiTheme="minorEastAsia"/>
          <w:color w:val="000000" w:themeColor="text1"/>
          <w:sz w:val="24"/>
          <w:szCs w:val="24"/>
        </w:rPr>
        <w:lastRenderedPageBreak/>
        <w:t>全面加强过程管理，确保全年目标责任刚性</w:t>
      </w:r>
      <w:r>
        <w:rPr>
          <w:rFonts w:asciiTheme="minorEastAsia" w:eastAsiaTheme="minorEastAsia" w:hAnsiTheme="minorEastAsia" w:hint="eastAsia"/>
          <w:color w:val="000000" w:themeColor="text1"/>
          <w:sz w:val="24"/>
          <w:szCs w:val="24"/>
        </w:rPr>
        <w:t>考核</w:t>
      </w:r>
      <w:r>
        <w:rPr>
          <w:rFonts w:asciiTheme="minorEastAsia" w:eastAsiaTheme="minorEastAsia" w:hAnsiTheme="minorEastAsia"/>
          <w:color w:val="000000" w:themeColor="text1"/>
          <w:sz w:val="24"/>
          <w:szCs w:val="24"/>
        </w:rPr>
        <w:t>、落实到位。</w:t>
      </w:r>
      <w:r>
        <w:rPr>
          <w:rFonts w:ascii="Times New Roman" w:eastAsiaTheme="minorEastAsia" w:hAnsi="Times New Roman" w:hint="eastAsia"/>
          <w:bCs/>
          <w:sz w:val="24"/>
          <w:szCs w:val="24"/>
        </w:rPr>
        <w:t>督促经营层狠抓工作落实，</w:t>
      </w:r>
      <w:r>
        <w:rPr>
          <w:rFonts w:asciiTheme="minorEastAsia" w:eastAsiaTheme="minorEastAsia" w:hAnsiTheme="minorEastAsia" w:hint="eastAsia"/>
          <w:color w:val="000000" w:themeColor="text1"/>
          <w:sz w:val="24"/>
          <w:szCs w:val="24"/>
        </w:rPr>
        <w:t>加快推进公司数字运营管理水平迈上新台阶，积极导入市场化用人机制，优化干部队伍结构，充实管理队伍力量。加快推进各业态转型升级，进一步探索新模式新业态。全面推进供应链优化，加快直采、直营推进步伐，促进商品经营结构改善，</w:t>
      </w:r>
      <w:r>
        <w:rPr>
          <w:rFonts w:ascii="Times New Roman" w:eastAsiaTheme="minorEastAsia" w:hAnsiTheme="minorEastAsia"/>
          <w:bCs/>
          <w:color w:val="000000" w:themeColor="text1"/>
          <w:sz w:val="24"/>
          <w:szCs w:val="24"/>
        </w:rPr>
        <w:t>确保</w:t>
      </w:r>
      <w:r>
        <w:rPr>
          <w:rFonts w:ascii="Times New Roman" w:eastAsiaTheme="minorEastAsia" w:hAnsiTheme="minorEastAsia" w:hint="eastAsia"/>
          <w:bCs/>
          <w:color w:val="000000" w:themeColor="text1"/>
          <w:sz w:val="24"/>
          <w:szCs w:val="24"/>
        </w:rPr>
        <w:t>年度</w:t>
      </w:r>
      <w:r>
        <w:rPr>
          <w:rFonts w:ascii="Times New Roman" w:eastAsiaTheme="minorEastAsia" w:hAnsiTheme="minorEastAsia"/>
          <w:bCs/>
          <w:color w:val="000000" w:themeColor="text1"/>
          <w:sz w:val="24"/>
          <w:szCs w:val="24"/>
        </w:rPr>
        <w:t>经营目标的全面完成。</w:t>
      </w:r>
    </w:p>
    <w:p w:rsidR="00564F13" w:rsidRDefault="003C47C5">
      <w:pPr>
        <w:autoSpaceDE w:val="0"/>
        <w:autoSpaceDN w:val="0"/>
        <w:adjustRightInd w:val="0"/>
        <w:snapToGrid w:val="0"/>
        <w:spacing w:line="360" w:lineRule="auto"/>
        <w:ind w:firstLine="480"/>
        <w:jc w:val="left"/>
        <w:rPr>
          <w:rFonts w:asciiTheme="minorEastAsia" w:eastAsiaTheme="minorEastAsia" w:hAnsiTheme="minorEastAsia"/>
          <w:b/>
          <w:color w:val="000000" w:themeColor="text1"/>
          <w:kern w:val="0"/>
          <w:sz w:val="24"/>
          <w:szCs w:val="24"/>
          <w:lang w:val="zh-CN"/>
        </w:rPr>
      </w:pPr>
      <w:r>
        <w:rPr>
          <w:rFonts w:asciiTheme="minorEastAsia" w:eastAsiaTheme="minorEastAsia" w:hAnsiTheme="minorEastAsia" w:hint="eastAsia"/>
          <w:b/>
          <w:color w:val="000000" w:themeColor="text1"/>
          <w:sz w:val="24"/>
          <w:szCs w:val="24"/>
        </w:rPr>
        <w:t>4.加强公司治理，促进规范运作</w:t>
      </w:r>
    </w:p>
    <w:p w:rsidR="00564F13" w:rsidRDefault="003C47C5">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根据国务院关于进一步提高上市公司质量的意见，2022年公司董事会将继续自查自纠，提升公司治理水平。公司将充分发挥党组织把方向、管大局、保落实的领导作用和股东大会、董事会的决策职能，严格按照法律法规和规范性文件的有关要求，认真组织落实股东大会各项决议。</w:t>
      </w:r>
      <w:r>
        <w:rPr>
          <w:rFonts w:asciiTheme="minorEastAsia" w:eastAsiaTheme="minorEastAsia" w:hAnsiTheme="minorEastAsia"/>
          <w:color w:val="000000"/>
          <w:kern w:val="0"/>
          <w:sz w:val="24"/>
          <w:szCs w:val="24"/>
          <w:lang w:val="zh-CN"/>
        </w:rPr>
        <w:t>继续提升董监高履职能力，积极组织、参加各类培训，深入学习各类新颁布的法律法规，进一步提高合规意识、自律意识和业务能力</w:t>
      </w:r>
      <w:r>
        <w:rPr>
          <w:rFonts w:asciiTheme="minorEastAsia" w:eastAsiaTheme="minorEastAsia" w:hAnsiTheme="minorEastAsia" w:hint="eastAsia"/>
          <w:color w:val="000000"/>
          <w:kern w:val="0"/>
          <w:sz w:val="24"/>
          <w:szCs w:val="24"/>
          <w:lang w:val="zh-CN"/>
        </w:rPr>
        <w:t>。进一步加强内部控制，完善法人治理结构，忠实履行信息披露义务，加强与投资者的沟通交流，推进公司规范化运作水平不断迈上新台阶。</w:t>
      </w:r>
    </w:p>
    <w:p w:rsidR="00564F13" w:rsidRDefault="003C47C5">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heme="minorEastAsia" w:eastAsiaTheme="minorEastAsia" w:hAnsiTheme="minorEastAsia"/>
          <w:color w:val="000000"/>
          <w:kern w:val="0"/>
          <w:sz w:val="24"/>
          <w:szCs w:val="24"/>
          <w:lang w:val="zh-CN"/>
        </w:rPr>
      </w:pPr>
      <w:r>
        <w:rPr>
          <w:rFonts w:asciiTheme="minorEastAsia" w:eastAsiaTheme="minorEastAsia" w:hAnsiTheme="minorEastAsia" w:hint="eastAsia"/>
          <w:color w:val="000000"/>
          <w:kern w:val="0"/>
          <w:sz w:val="24"/>
          <w:szCs w:val="24"/>
          <w:lang w:val="zh-CN"/>
        </w:rPr>
        <w:t>2022 年，公司继续秉持对全体股东负责的原则，忠实履责，坚守使命，深入贯彻与落实公司战略发展规划，加强风险监测与管理，不断提高核心竞争力</w:t>
      </w:r>
      <w:r>
        <w:rPr>
          <w:rFonts w:asciiTheme="minorEastAsia" w:eastAsiaTheme="minorEastAsia" w:hAnsiTheme="minorEastAsia"/>
          <w:color w:val="000000"/>
          <w:kern w:val="0"/>
          <w:sz w:val="24"/>
          <w:szCs w:val="24"/>
          <w:lang w:val="zh-CN"/>
        </w:rPr>
        <w:t>，努力为股东创造价值，推动企业持续健康发展。</w:t>
      </w:r>
    </w:p>
    <w:p w:rsidR="00564F13" w:rsidRDefault="00564F13" w:rsidP="00937385">
      <w:pPr>
        <w:pStyle w:val="a0"/>
        <w:ind w:firstLine="480"/>
      </w:pPr>
    </w:p>
    <w:p w:rsidR="00564F13" w:rsidRDefault="00564F13" w:rsidP="00937385">
      <w:pPr>
        <w:pStyle w:val="a0"/>
        <w:ind w:firstLine="480"/>
      </w:pPr>
    </w:p>
    <w:p w:rsidR="00564F13" w:rsidRDefault="003C47C5">
      <w:pPr>
        <w:adjustRightInd w:val="0"/>
        <w:snapToGrid w:val="0"/>
        <w:spacing w:line="360" w:lineRule="auto"/>
        <w:ind w:firstLineChars="2296" w:firstLine="5510"/>
        <w:rPr>
          <w:rFonts w:ascii="Times New Roman" w:eastAsiaTheme="minorEastAsia" w:hAnsiTheme="minorEastAsia"/>
          <w:bCs/>
          <w:color w:val="000000" w:themeColor="text1"/>
          <w:sz w:val="24"/>
          <w:szCs w:val="24"/>
        </w:rPr>
      </w:pPr>
      <w:r>
        <w:rPr>
          <w:rFonts w:ascii="Times New Roman" w:eastAsiaTheme="minorEastAsia" w:hAnsiTheme="minorEastAsia" w:hint="eastAsia"/>
          <w:bCs/>
          <w:color w:val="000000" w:themeColor="text1"/>
          <w:sz w:val="24"/>
          <w:szCs w:val="24"/>
        </w:rPr>
        <w:t>中百控股集团股份有限公司</w:t>
      </w:r>
    </w:p>
    <w:p w:rsidR="00564F13" w:rsidRDefault="003C47C5">
      <w:pPr>
        <w:adjustRightInd w:val="0"/>
        <w:snapToGrid w:val="0"/>
        <w:spacing w:line="360" w:lineRule="auto"/>
        <w:ind w:firstLineChars="2696" w:firstLine="6470"/>
        <w:rPr>
          <w:rFonts w:ascii="Times New Roman" w:eastAsiaTheme="minorEastAsia" w:hAnsiTheme="minorEastAsia"/>
          <w:bCs/>
          <w:color w:val="000000" w:themeColor="text1"/>
          <w:sz w:val="24"/>
          <w:szCs w:val="24"/>
        </w:rPr>
      </w:pPr>
      <w:r>
        <w:rPr>
          <w:rFonts w:ascii="Times New Roman" w:eastAsiaTheme="minorEastAsia" w:hAnsiTheme="minorEastAsia" w:hint="eastAsia"/>
          <w:bCs/>
          <w:color w:val="000000" w:themeColor="text1"/>
          <w:sz w:val="24"/>
          <w:szCs w:val="24"/>
        </w:rPr>
        <w:t>董</w:t>
      </w:r>
      <w:r>
        <w:rPr>
          <w:rFonts w:ascii="Times New Roman" w:eastAsiaTheme="minorEastAsia" w:hAnsiTheme="minorEastAsia" w:hint="eastAsia"/>
          <w:bCs/>
          <w:color w:val="000000" w:themeColor="text1"/>
          <w:sz w:val="24"/>
          <w:szCs w:val="24"/>
        </w:rPr>
        <w:t xml:space="preserve"> </w:t>
      </w:r>
      <w:r>
        <w:rPr>
          <w:rFonts w:ascii="Times New Roman" w:eastAsiaTheme="minorEastAsia" w:hAnsiTheme="minorEastAsia" w:hint="eastAsia"/>
          <w:bCs/>
          <w:color w:val="000000" w:themeColor="text1"/>
          <w:sz w:val="24"/>
          <w:szCs w:val="24"/>
        </w:rPr>
        <w:t>事</w:t>
      </w:r>
      <w:r>
        <w:rPr>
          <w:rFonts w:ascii="Times New Roman" w:eastAsiaTheme="minorEastAsia" w:hAnsiTheme="minorEastAsia" w:hint="eastAsia"/>
          <w:bCs/>
          <w:color w:val="000000" w:themeColor="text1"/>
          <w:sz w:val="24"/>
          <w:szCs w:val="24"/>
        </w:rPr>
        <w:t xml:space="preserve"> </w:t>
      </w:r>
      <w:r>
        <w:rPr>
          <w:rFonts w:ascii="Times New Roman" w:eastAsiaTheme="minorEastAsia" w:hAnsiTheme="minorEastAsia" w:hint="eastAsia"/>
          <w:bCs/>
          <w:color w:val="000000" w:themeColor="text1"/>
          <w:sz w:val="24"/>
          <w:szCs w:val="24"/>
        </w:rPr>
        <w:t>会</w:t>
      </w:r>
    </w:p>
    <w:p w:rsidR="00564F13" w:rsidRDefault="003C47C5">
      <w:pPr>
        <w:pStyle w:val="a7"/>
        <w:adjustRightInd w:val="0"/>
        <w:snapToGrid w:val="0"/>
        <w:spacing w:line="360" w:lineRule="auto"/>
        <w:ind w:leftChars="48" w:left="101" w:right="240" w:firstLineChars="2455" w:firstLine="5892"/>
        <w:jc w:val="left"/>
      </w:pPr>
      <w:r>
        <w:rPr>
          <w:rFonts w:ascii="宋体" w:hAnsi="宋体" w:cs="宋体" w:hint="eastAsia"/>
          <w:sz w:val="24"/>
        </w:rPr>
        <w:t>2022年3月26日</w:t>
      </w:r>
    </w:p>
    <w:p w:rsidR="00564F13" w:rsidRDefault="00564F13">
      <w:pPr>
        <w:pStyle w:val="a7"/>
        <w:adjustRightInd w:val="0"/>
        <w:snapToGrid w:val="0"/>
        <w:spacing w:line="360" w:lineRule="auto"/>
        <w:ind w:leftChars="48" w:left="101" w:right="240" w:firstLineChars="2455" w:firstLine="5892"/>
        <w:jc w:val="left"/>
        <w:rPr>
          <w:rFonts w:ascii="宋体" w:hAnsi="宋体" w:cs="宋体"/>
          <w:kern w:val="0"/>
          <w:sz w:val="24"/>
        </w:rPr>
      </w:pPr>
    </w:p>
    <w:sectPr w:rsidR="00564F13" w:rsidSect="00564F13">
      <w:footerReference w:type="default" r:id="rId7"/>
      <w:pgSz w:w="11906" w:h="16838"/>
      <w:pgMar w:top="1701" w:right="1417"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385" w:rsidRDefault="002A2385" w:rsidP="00937385">
      <w:r>
        <w:separator/>
      </w:r>
    </w:p>
  </w:endnote>
  <w:endnote w:type="continuationSeparator" w:id="0">
    <w:p w:rsidR="002A2385" w:rsidRDefault="002A2385" w:rsidP="009373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693938"/>
      <w:docPartObj>
        <w:docPartGallery w:val="Page Numbers (Bottom of Page)"/>
        <w:docPartUnique/>
      </w:docPartObj>
    </w:sdtPr>
    <w:sdtContent>
      <w:p w:rsidR="00FB525A" w:rsidRDefault="00974714">
        <w:pPr>
          <w:pStyle w:val="a8"/>
          <w:jc w:val="center"/>
        </w:pPr>
        <w:fldSimple w:instr=" PAGE   \* MERGEFORMAT ">
          <w:r w:rsidR="006864A6" w:rsidRPr="006864A6">
            <w:rPr>
              <w:noProof/>
              <w:lang w:val="zh-CN"/>
            </w:rPr>
            <w:t>6</w:t>
          </w:r>
        </w:fldSimple>
      </w:p>
    </w:sdtContent>
  </w:sdt>
  <w:p w:rsidR="00FB525A" w:rsidRDefault="00FB525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385" w:rsidRDefault="002A2385" w:rsidP="00937385">
      <w:r>
        <w:separator/>
      </w:r>
    </w:p>
  </w:footnote>
  <w:footnote w:type="continuationSeparator" w:id="0">
    <w:p w:rsidR="002A2385" w:rsidRDefault="002A2385" w:rsidP="009373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7278"/>
    <w:rsid w:val="00001FBE"/>
    <w:rsid w:val="00052092"/>
    <w:rsid w:val="00063942"/>
    <w:rsid w:val="00096A21"/>
    <w:rsid w:val="000A077B"/>
    <w:rsid w:val="000B76F7"/>
    <w:rsid w:val="000D66F7"/>
    <w:rsid w:val="0010300E"/>
    <w:rsid w:val="00113E3A"/>
    <w:rsid w:val="001530F5"/>
    <w:rsid w:val="0016170D"/>
    <w:rsid w:val="00185917"/>
    <w:rsid w:val="0019001A"/>
    <w:rsid w:val="001C034D"/>
    <w:rsid w:val="001C08B0"/>
    <w:rsid w:val="002158CD"/>
    <w:rsid w:val="0025441D"/>
    <w:rsid w:val="0026472E"/>
    <w:rsid w:val="00281144"/>
    <w:rsid w:val="002A2385"/>
    <w:rsid w:val="00311735"/>
    <w:rsid w:val="00330E17"/>
    <w:rsid w:val="00385922"/>
    <w:rsid w:val="003B077B"/>
    <w:rsid w:val="003C47C5"/>
    <w:rsid w:val="003D7E9A"/>
    <w:rsid w:val="00422D24"/>
    <w:rsid w:val="00430C7E"/>
    <w:rsid w:val="0045650D"/>
    <w:rsid w:val="0046110C"/>
    <w:rsid w:val="00470AD6"/>
    <w:rsid w:val="0049127A"/>
    <w:rsid w:val="004B7213"/>
    <w:rsid w:val="004C66A2"/>
    <w:rsid w:val="004E650F"/>
    <w:rsid w:val="00505CBC"/>
    <w:rsid w:val="005231EC"/>
    <w:rsid w:val="00526199"/>
    <w:rsid w:val="00537D68"/>
    <w:rsid w:val="00564F13"/>
    <w:rsid w:val="00565F17"/>
    <w:rsid w:val="00572109"/>
    <w:rsid w:val="005B2512"/>
    <w:rsid w:val="005B3702"/>
    <w:rsid w:val="005C7CE2"/>
    <w:rsid w:val="005F5D5D"/>
    <w:rsid w:val="00601059"/>
    <w:rsid w:val="00625AB4"/>
    <w:rsid w:val="00633CBA"/>
    <w:rsid w:val="0063798E"/>
    <w:rsid w:val="0067039A"/>
    <w:rsid w:val="006864A6"/>
    <w:rsid w:val="00687C38"/>
    <w:rsid w:val="006B4710"/>
    <w:rsid w:val="006E41C8"/>
    <w:rsid w:val="006E6118"/>
    <w:rsid w:val="00700F3F"/>
    <w:rsid w:val="00735D3F"/>
    <w:rsid w:val="00736442"/>
    <w:rsid w:val="007374EB"/>
    <w:rsid w:val="00743156"/>
    <w:rsid w:val="0075174D"/>
    <w:rsid w:val="00756D0B"/>
    <w:rsid w:val="007B490A"/>
    <w:rsid w:val="007C346B"/>
    <w:rsid w:val="007D5DD7"/>
    <w:rsid w:val="007F2466"/>
    <w:rsid w:val="007F4639"/>
    <w:rsid w:val="008004CA"/>
    <w:rsid w:val="00803EC8"/>
    <w:rsid w:val="0080797A"/>
    <w:rsid w:val="00850EA2"/>
    <w:rsid w:val="00855B95"/>
    <w:rsid w:val="00861D4E"/>
    <w:rsid w:val="008675D8"/>
    <w:rsid w:val="008961FC"/>
    <w:rsid w:val="008B03F4"/>
    <w:rsid w:val="008C4951"/>
    <w:rsid w:val="008D3674"/>
    <w:rsid w:val="008E3074"/>
    <w:rsid w:val="00907278"/>
    <w:rsid w:val="00937385"/>
    <w:rsid w:val="00944524"/>
    <w:rsid w:val="00947546"/>
    <w:rsid w:val="0097360E"/>
    <w:rsid w:val="00974714"/>
    <w:rsid w:val="009808A0"/>
    <w:rsid w:val="00983336"/>
    <w:rsid w:val="00984DAF"/>
    <w:rsid w:val="009E6E14"/>
    <w:rsid w:val="009F5F38"/>
    <w:rsid w:val="00A22483"/>
    <w:rsid w:val="00A23455"/>
    <w:rsid w:val="00A71220"/>
    <w:rsid w:val="00A81778"/>
    <w:rsid w:val="00A94263"/>
    <w:rsid w:val="00A96FE7"/>
    <w:rsid w:val="00AC0889"/>
    <w:rsid w:val="00AC6712"/>
    <w:rsid w:val="00B32475"/>
    <w:rsid w:val="00B435F8"/>
    <w:rsid w:val="00B55721"/>
    <w:rsid w:val="00B67F76"/>
    <w:rsid w:val="00B73A42"/>
    <w:rsid w:val="00B85F22"/>
    <w:rsid w:val="00B92B91"/>
    <w:rsid w:val="00B941B5"/>
    <w:rsid w:val="00BA1311"/>
    <w:rsid w:val="00BA13BB"/>
    <w:rsid w:val="00BC3D2B"/>
    <w:rsid w:val="00BF5E3A"/>
    <w:rsid w:val="00C10C25"/>
    <w:rsid w:val="00C205A3"/>
    <w:rsid w:val="00C35C84"/>
    <w:rsid w:val="00C55111"/>
    <w:rsid w:val="00C6404A"/>
    <w:rsid w:val="00C726CA"/>
    <w:rsid w:val="00CA6321"/>
    <w:rsid w:val="00CB5FAD"/>
    <w:rsid w:val="00D04A7B"/>
    <w:rsid w:val="00D11709"/>
    <w:rsid w:val="00D40D18"/>
    <w:rsid w:val="00D44540"/>
    <w:rsid w:val="00D46271"/>
    <w:rsid w:val="00DF1041"/>
    <w:rsid w:val="00E31102"/>
    <w:rsid w:val="00E47A06"/>
    <w:rsid w:val="00E56E2D"/>
    <w:rsid w:val="00E609C3"/>
    <w:rsid w:val="00E74005"/>
    <w:rsid w:val="00E86901"/>
    <w:rsid w:val="00E97948"/>
    <w:rsid w:val="00EB1F21"/>
    <w:rsid w:val="00EC569A"/>
    <w:rsid w:val="00EC7A24"/>
    <w:rsid w:val="00ED3A0E"/>
    <w:rsid w:val="00EE05CD"/>
    <w:rsid w:val="00F000DD"/>
    <w:rsid w:val="00F344C7"/>
    <w:rsid w:val="00F70F16"/>
    <w:rsid w:val="00F74C50"/>
    <w:rsid w:val="00F75E91"/>
    <w:rsid w:val="00F91DD9"/>
    <w:rsid w:val="00F92FF9"/>
    <w:rsid w:val="00FB525A"/>
    <w:rsid w:val="00FD2E5D"/>
    <w:rsid w:val="00FE1AEE"/>
    <w:rsid w:val="011306B3"/>
    <w:rsid w:val="01C94FDB"/>
    <w:rsid w:val="02065EE1"/>
    <w:rsid w:val="06A02AF8"/>
    <w:rsid w:val="08B46BFE"/>
    <w:rsid w:val="096E3A0F"/>
    <w:rsid w:val="0D655446"/>
    <w:rsid w:val="0D733FC3"/>
    <w:rsid w:val="0D8B2E0B"/>
    <w:rsid w:val="0D9C71B4"/>
    <w:rsid w:val="0DB10E47"/>
    <w:rsid w:val="118B6C3D"/>
    <w:rsid w:val="119A1888"/>
    <w:rsid w:val="13515247"/>
    <w:rsid w:val="14044DB2"/>
    <w:rsid w:val="1789662A"/>
    <w:rsid w:val="18845214"/>
    <w:rsid w:val="1A3C370A"/>
    <w:rsid w:val="1ACA2D48"/>
    <w:rsid w:val="1EE81D82"/>
    <w:rsid w:val="20883C3F"/>
    <w:rsid w:val="22C658EA"/>
    <w:rsid w:val="239A15D4"/>
    <w:rsid w:val="23E9746F"/>
    <w:rsid w:val="25A95FDE"/>
    <w:rsid w:val="25CA0F2C"/>
    <w:rsid w:val="261B4B55"/>
    <w:rsid w:val="26B336F8"/>
    <w:rsid w:val="27411314"/>
    <w:rsid w:val="276A1088"/>
    <w:rsid w:val="27DA0943"/>
    <w:rsid w:val="290C407E"/>
    <w:rsid w:val="29E029FF"/>
    <w:rsid w:val="2B3179A8"/>
    <w:rsid w:val="2BFE5DC3"/>
    <w:rsid w:val="2DA74961"/>
    <w:rsid w:val="2F103EF0"/>
    <w:rsid w:val="30BD2445"/>
    <w:rsid w:val="32852A7C"/>
    <w:rsid w:val="340F0B60"/>
    <w:rsid w:val="34644DFA"/>
    <w:rsid w:val="34BB17CE"/>
    <w:rsid w:val="3E466321"/>
    <w:rsid w:val="401B2E8A"/>
    <w:rsid w:val="41E06D02"/>
    <w:rsid w:val="424F7EED"/>
    <w:rsid w:val="42C70B66"/>
    <w:rsid w:val="43B32B6E"/>
    <w:rsid w:val="45085BBB"/>
    <w:rsid w:val="460C2D45"/>
    <w:rsid w:val="46C4719C"/>
    <w:rsid w:val="4AC76D5B"/>
    <w:rsid w:val="4F594F41"/>
    <w:rsid w:val="51D47EDB"/>
    <w:rsid w:val="562750EE"/>
    <w:rsid w:val="57B810EF"/>
    <w:rsid w:val="585901E8"/>
    <w:rsid w:val="59F30E5C"/>
    <w:rsid w:val="5A533A61"/>
    <w:rsid w:val="5A6D40DE"/>
    <w:rsid w:val="5BA733C4"/>
    <w:rsid w:val="5FA67A47"/>
    <w:rsid w:val="62E86A39"/>
    <w:rsid w:val="64822B66"/>
    <w:rsid w:val="65E716D4"/>
    <w:rsid w:val="6C1D5826"/>
    <w:rsid w:val="6F014853"/>
    <w:rsid w:val="74864EEB"/>
    <w:rsid w:val="7BCF40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64F13"/>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首行缩进）"/>
    <w:basedOn w:val="a4"/>
    <w:next w:val="a5"/>
    <w:qFormat/>
    <w:rsid w:val="00564F13"/>
    <w:pPr>
      <w:snapToGrid w:val="0"/>
      <w:spacing w:line="288" w:lineRule="auto"/>
      <w:ind w:firstLineChars="200" w:firstLine="880"/>
    </w:pPr>
    <w:rPr>
      <w:rFonts w:eastAsia="方正书宋简体"/>
    </w:rPr>
  </w:style>
  <w:style w:type="paragraph" w:styleId="a4">
    <w:name w:val="Body Text First Indent"/>
    <w:basedOn w:val="a6"/>
    <w:qFormat/>
    <w:rsid w:val="00564F13"/>
    <w:pPr>
      <w:adjustRightInd/>
      <w:spacing w:after="120" w:line="240" w:lineRule="auto"/>
      <w:ind w:firstLineChars="100" w:firstLine="420"/>
      <w:textAlignment w:val="auto"/>
    </w:pPr>
    <w:rPr>
      <w:rFonts w:eastAsia="宋体"/>
      <w:sz w:val="24"/>
    </w:rPr>
  </w:style>
  <w:style w:type="paragraph" w:styleId="a6">
    <w:name w:val="Body Text"/>
    <w:basedOn w:val="a"/>
    <w:qFormat/>
    <w:rsid w:val="00564F13"/>
    <w:pPr>
      <w:adjustRightInd w:val="0"/>
      <w:spacing w:line="360" w:lineRule="auto"/>
      <w:textAlignment w:val="baseline"/>
    </w:pPr>
    <w:rPr>
      <w:rFonts w:eastAsia="楷体_GB2312"/>
      <w:sz w:val="32"/>
    </w:rPr>
  </w:style>
  <w:style w:type="paragraph" w:styleId="a5">
    <w:name w:val="Balloon Text"/>
    <w:basedOn w:val="a"/>
    <w:link w:val="Char"/>
    <w:semiHidden/>
    <w:qFormat/>
    <w:rsid w:val="00564F13"/>
    <w:rPr>
      <w:rFonts w:ascii="Times New Roman" w:hAnsi="Times New Roman"/>
      <w:sz w:val="18"/>
      <w:szCs w:val="18"/>
    </w:rPr>
  </w:style>
  <w:style w:type="paragraph" w:styleId="a7">
    <w:name w:val="Date"/>
    <w:basedOn w:val="a"/>
    <w:next w:val="a"/>
    <w:link w:val="Char0"/>
    <w:unhideWhenUsed/>
    <w:qFormat/>
    <w:rsid w:val="00564F13"/>
    <w:pPr>
      <w:ind w:leftChars="2500" w:left="100"/>
    </w:pPr>
    <w:rPr>
      <w:rFonts w:ascii="Times New Roman" w:hAnsi="Times New Roman"/>
      <w:szCs w:val="24"/>
    </w:rPr>
  </w:style>
  <w:style w:type="paragraph" w:styleId="a8">
    <w:name w:val="footer"/>
    <w:basedOn w:val="a"/>
    <w:link w:val="Char1"/>
    <w:uiPriority w:val="99"/>
    <w:unhideWhenUsed/>
    <w:qFormat/>
    <w:rsid w:val="00564F13"/>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2"/>
    <w:uiPriority w:val="99"/>
    <w:semiHidden/>
    <w:unhideWhenUsed/>
    <w:qFormat/>
    <w:rsid w:val="00564F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a">
    <w:name w:val="Table Grid"/>
    <w:basedOn w:val="a2"/>
    <w:uiPriority w:val="59"/>
    <w:qFormat/>
    <w:rsid w:val="00564F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basedOn w:val="a1"/>
    <w:link w:val="a9"/>
    <w:uiPriority w:val="99"/>
    <w:semiHidden/>
    <w:qFormat/>
    <w:rsid w:val="00564F13"/>
    <w:rPr>
      <w:sz w:val="18"/>
      <w:szCs w:val="18"/>
    </w:rPr>
  </w:style>
  <w:style w:type="character" w:customStyle="1" w:styleId="Char1">
    <w:name w:val="页脚 Char"/>
    <w:basedOn w:val="a1"/>
    <w:link w:val="a8"/>
    <w:uiPriority w:val="99"/>
    <w:qFormat/>
    <w:rsid w:val="00564F13"/>
    <w:rPr>
      <w:sz w:val="18"/>
      <w:szCs w:val="18"/>
    </w:rPr>
  </w:style>
  <w:style w:type="character" w:customStyle="1" w:styleId="DefaultChar">
    <w:name w:val="Default Char"/>
    <w:basedOn w:val="a1"/>
    <w:link w:val="Default"/>
    <w:qFormat/>
    <w:locked/>
    <w:rsid w:val="00564F13"/>
    <w:rPr>
      <w:rFonts w:ascii="黑体" w:eastAsia="黑体" w:hAnsi="黑体"/>
      <w:color w:val="000000"/>
      <w:sz w:val="24"/>
      <w:szCs w:val="24"/>
    </w:rPr>
  </w:style>
  <w:style w:type="paragraph" w:customStyle="1" w:styleId="Default">
    <w:name w:val="Default"/>
    <w:link w:val="DefaultChar"/>
    <w:qFormat/>
    <w:rsid w:val="00564F13"/>
    <w:pPr>
      <w:widowControl w:val="0"/>
      <w:autoSpaceDE w:val="0"/>
      <w:autoSpaceDN w:val="0"/>
      <w:adjustRightInd w:val="0"/>
    </w:pPr>
    <w:rPr>
      <w:rFonts w:ascii="黑体" w:eastAsia="黑体" w:hAnsi="黑体" w:cstheme="minorBidi"/>
      <w:color w:val="000000"/>
      <w:kern w:val="2"/>
      <w:sz w:val="24"/>
      <w:szCs w:val="24"/>
    </w:rPr>
  </w:style>
  <w:style w:type="character" w:customStyle="1" w:styleId="Char0">
    <w:name w:val="日期 Char"/>
    <w:basedOn w:val="a1"/>
    <w:link w:val="a7"/>
    <w:qFormat/>
    <w:rsid w:val="00564F13"/>
    <w:rPr>
      <w:rFonts w:ascii="Times New Roman" w:eastAsia="宋体" w:hAnsi="Times New Roman" w:cs="Times New Roman"/>
      <w:kern w:val="2"/>
      <w:sz w:val="21"/>
      <w:szCs w:val="24"/>
    </w:rPr>
  </w:style>
  <w:style w:type="character" w:customStyle="1" w:styleId="Char">
    <w:name w:val="批注框文本 Char"/>
    <w:basedOn w:val="a1"/>
    <w:link w:val="a5"/>
    <w:semiHidden/>
    <w:qFormat/>
    <w:rsid w:val="00564F1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1051</Words>
  <Characters>5993</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57</cp:revision>
  <dcterms:created xsi:type="dcterms:W3CDTF">2020-02-13T08:00:00Z</dcterms:created>
  <dcterms:modified xsi:type="dcterms:W3CDTF">2022-03-23T10:14:00Z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