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证券代码：000759         证券简称：中百集团        公告编号：202</w:t>
      </w:r>
      <w:r>
        <w:rPr>
          <w:rFonts w:hint="eastAsia" w:asciiTheme="minorEastAsia" w:hAnsiTheme="minorEastAsia" w:eastAsiaTheme="minorEastAsia"/>
          <w:kern w:val="0"/>
          <w:sz w:val="24"/>
        </w:rPr>
        <w:t>1</w:t>
      </w:r>
      <w:r>
        <w:rPr>
          <w:rFonts w:asciiTheme="minorEastAsia" w:hAnsiTheme="minorEastAsia" w:eastAsiaTheme="minorEastAsia"/>
          <w:kern w:val="0"/>
          <w:sz w:val="24"/>
        </w:rPr>
        <w:t>-0</w:t>
      </w:r>
      <w:r>
        <w:rPr>
          <w:rFonts w:hint="eastAsia" w:asciiTheme="minorEastAsia" w:hAnsiTheme="minorEastAsia" w:eastAsiaTheme="minorEastAsia"/>
          <w:kern w:val="0"/>
          <w:sz w:val="24"/>
        </w:rPr>
        <w:t>66</w:t>
      </w:r>
    </w:p>
    <w:p>
      <w:pPr>
        <w:adjustRightInd w:val="0"/>
        <w:snapToGrid w:val="0"/>
        <w:jc w:val="center"/>
        <w:rPr>
          <w:rStyle w:val="11"/>
          <w:rFonts w:ascii="Calibri" w:hAnsi="Calibri"/>
          <w:b/>
          <w:kern w:val="0"/>
          <w:sz w:val="24"/>
        </w:rPr>
      </w:pPr>
    </w:p>
    <w:p>
      <w:pPr>
        <w:pStyle w:val="6"/>
        <w:adjustRightInd w:val="0"/>
        <w:snapToGrid w:val="0"/>
        <w:spacing w:before="0" w:beforeAutospacing="0" w:after="0" w:afterAutospacing="0"/>
        <w:ind w:right="178" w:rightChars="85"/>
        <w:jc w:val="center"/>
        <w:rPr>
          <w:rStyle w:val="11"/>
          <w:rFonts w:ascii="Times New Roman" w:hAnsi="Times New Roman" w:eastAsia="黑体" w:cs="Times New Roman"/>
          <w:color w:val="auto"/>
          <w:sz w:val="36"/>
          <w:szCs w:val="36"/>
        </w:rPr>
      </w:pPr>
      <w:r>
        <w:rPr>
          <w:rStyle w:val="11"/>
          <w:rFonts w:ascii="Times New Roman" w:hAnsi="Times New Roman" w:eastAsia="黑体" w:cs="Times New Roman"/>
          <w:color w:val="auto"/>
          <w:sz w:val="36"/>
          <w:szCs w:val="36"/>
        </w:rPr>
        <w:t>中百控股集团股份有限公司</w:t>
      </w:r>
    </w:p>
    <w:p>
      <w:pPr>
        <w:pStyle w:val="6"/>
        <w:adjustRightInd w:val="0"/>
        <w:snapToGrid w:val="0"/>
        <w:spacing w:before="0" w:beforeAutospacing="0" w:after="0" w:afterAutospacing="0"/>
        <w:jc w:val="center"/>
        <w:rPr>
          <w:rStyle w:val="11"/>
          <w:rFonts w:ascii="Times New Roman" w:hAnsi="Times New Roman" w:eastAsia="黑体" w:cs="Times New Roman"/>
          <w:color w:val="auto"/>
          <w:sz w:val="36"/>
          <w:szCs w:val="36"/>
        </w:rPr>
      </w:pPr>
      <w:r>
        <w:rPr>
          <w:rStyle w:val="11"/>
          <w:rFonts w:ascii="Times New Roman" w:hAnsi="Times New Roman" w:eastAsia="黑体" w:cs="Times New Roman"/>
          <w:color w:val="auto"/>
          <w:sz w:val="36"/>
          <w:szCs w:val="36"/>
        </w:rPr>
        <w:t>第十届董事会第</w:t>
      </w:r>
      <w:r>
        <w:rPr>
          <w:rStyle w:val="11"/>
          <w:rFonts w:hint="eastAsia" w:ascii="Times New Roman" w:hAnsi="Times New Roman" w:eastAsia="黑体" w:cs="Times New Roman"/>
          <w:color w:val="auto"/>
          <w:sz w:val="36"/>
          <w:szCs w:val="36"/>
        </w:rPr>
        <w:t>七</w:t>
      </w:r>
      <w:r>
        <w:rPr>
          <w:rStyle w:val="11"/>
          <w:rFonts w:ascii="Times New Roman" w:hAnsi="Times New Roman" w:eastAsia="黑体" w:cs="Times New Roman"/>
          <w:color w:val="auto"/>
          <w:sz w:val="36"/>
          <w:szCs w:val="36"/>
        </w:rPr>
        <w:t>次会议决议公告</w:t>
      </w:r>
    </w:p>
    <w:tbl>
      <w:tblPr>
        <w:tblStyle w:val="9"/>
        <w:tblpPr w:leftFromText="180" w:rightFromText="180" w:vertAnchor="text" w:horzAnchor="margin" w:tblpY="9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pStyle w:val="16"/>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pStyle w:val="6"/>
        <w:adjustRightInd w:val="0"/>
        <w:snapToGrid w:val="0"/>
        <w:spacing w:beforeLines="50" w:beforeAutospacing="0" w:after="0" w:afterAutospacing="0" w:line="440" w:lineRule="exact"/>
        <w:ind w:firstLine="480" w:firstLineChars="200"/>
        <w:jc w:val="both"/>
        <w:rPr>
          <w:rStyle w:val="11"/>
          <w:rFonts w:ascii="Times New Roman" w:hAnsi="Times New Roman" w:cs="Times New Roman"/>
          <w:color w:val="auto"/>
        </w:rPr>
      </w:pPr>
      <w:r>
        <w:rPr>
          <w:rStyle w:val="11"/>
          <w:rFonts w:ascii="Times New Roman" w:hAnsi="Times New Roman" w:cs="Times New Roman"/>
          <w:color w:val="auto"/>
        </w:rPr>
        <w:t>中百控股集团股份有限公司</w:t>
      </w:r>
      <w:r>
        <w:rPr>
          <w:rStyle w:val="11"/>
          <w:rFonts w:hint="eastAsia" w:ascii="Times New Roman" w:hAnsi="Times New Roman" w:cs="Times New Roman"/>
          <w:color w:val="auto"/>
        </w:rPr>
        <w:t>（以下简称“公司”）</w:t>
      </w:r>
      <w:r>
        <w:rPr>
          <w:rStyle w:val="11"/>
          <w:rFonts w:ascii="Times New Roman" w:hAnsi="Times New Roman" w:cs="Times New Roman"/>
          <w:color w:val="auto"/>
        </w:rPr>
        <w:t>第十届董事会第</w:t>
      </w:r>
      <w:r>
        <w:rPr>
          <w:rStyle w:val="11"/>
          <w:rFonts w:hint="eastAsia" w:ascii="Times New Roman" w:hAnsi="Times New Roman" w:cs="Times New Roman"/>
          <w:color w:val="auto"/>
        </w:rPr>
        <w:t>七</w:t>
      </w:r>
      <w:r>
        <w:rPr>
          <w:rStyle w:val="11"/>
          <w:rFonts w:ascii="Times New Roman" w:hAnsi="Times New Roman" w:cs="Times New Roman"/>
          <w:color w:val="auto"/>
        </w:rPr>
        <w:t>次会议于20</w:t>
      </w:r>
      <w:r>
        <w:rPr>
          <w:rStyle w:val="11"/>
          <w:rFonts w:hint="eastAsia" w:ascii="Times New Roman" w:hAnsi="Times New Roman" w:cs="Times New Roman"/>
          <w:color w:val="auto"/>
        </w:rPr>
        <w:t>21</w:t>
      </w:r>
      <w:r>
        <w:rPr>
          <w:rStyle w:val="11"/>
          <w:rFonts w:ascii="Times New Roman" w:hAnsi="Times New Roman" w:cs="Times New Roman"/>
          <w:color w:val="auto"/>
        </w:rPr>
        <w:t>年</w:t>
      </w:r>
      <w:r>
        <w:rPr>
          <w:rStyle w:val="11"/>
          <w:rFonts w:hint="eastAsia" w:ascii="Times New Roman" w:hAnsi="Times New Roman" w:cs="Times New Roman"/>
          <w:color w:val="auto"/>
        </w:rPr>
        <w:t>10</w:t>
      </w:r>
      <w:r>
        <w:rPr>
          <w:rStyle w:val="11"/>
          <w:rFonts w:ascii="Times New Roman" w:hAnsi="Times New Roman" w:cs="Times New Roman"/>
          <w:color w:val="auto"/>
        </w:rPr>
        <w:t>月</w:t>
      </w:r>
      <w:r>
        <w:rPr>
          <w:rStyle w:val="11"/>
          <w:rFonts w:hint="eastAsia" w:ascii="Times New Roman" w:hAnsi="Times New Roman" w:cs="Times New Roman"/>
          <w:color w:val="auto"/>
        </w:rPr>
        <w:t>27</w:t>
      </w:r>
      <w:r>
        <w:rPr>
          <w:rStyle w:val="11"/>
          <w:rFonts w:ascii="Times New Roman" w:hAnsi="Times New Roman" w:cs="Times New Roman"/>
          <w:color w:val="auto"/>
        </w:rPr>
        <w:t>日上午9：</w:t>
      </w:r>
      <w:r>
        <w:rPr>
          <w:rStyle w:val="11"/>
          <w:rFonts w:hint="eastAsia" w:ascii="Times New Roman" w:hAnsi="Times New Roman" w:cs="Times New Roman"/>
          <w:color w:val="auto"/>
        </w:rPr>
        <w:t>00</w:t>
      </w:r>
      <w:r>
        <w:rPr>
          <w:rStyle w:val="11"/>
          <w:rFonts w:ascii="Times New Roman" w:hAnsi="Times New Roman" w:cs="Times New Roman"/>
          <w:color w:val="auto"/>
        </w:rPr>
        <w:t>以现场与通讯表决相结合的方式在公司会议室召开。本次会议通知于20</w:t>
      </w:r>
      <w:r>
        <w:rPr>
          <w:rStyle w:val="11"/>
          <w:rFonts w:hint="eastAsia" w:ascii="Times New Roman" w:hAnsi="Times New Roman" w:cs="Times New Roman"/>
          <w:color w:val="auto"/>
        </w:rPr>
        <w:t>21</w:t>
      </w:r>
      <w:r>
        <w:rPr>
          <w:rStyle w:val="11"/>
          <w:rFonts w:ascii="Times New Roman" w:hAnsi="Times New Roman" w:cs="Times New Roman"/>
          <w:color w:val="auto"/>
        </w:rPr>
        <w:t>年</w:t>
      </w:r>
      <w:r>
        <w:rPr>
          <w:rStyle w:val="11"/>
          <w:rFonts w:hint="eastAsia" w:ascii="Times New Roman" w:hAnsi="Times New Roman" w:cs="Times New Roman"/>
          <w:color w:val="auto"/>
        </w:rPr>
        <w:t>10</w:t>
      </w:r>
      <w:r>
        <w:rPr>
          <w:rStyle w:val="11"/>
          <w:rFonts w:ascii="Times New Roman" w:hAnsi="Times New Roman" w:cs="Times New Roman"/>
          <w:color w:val="auto"/>
        </w:rPr>
        <w:t>月</w:t>
      </w:r>
      <w:r>
        <w:rPr>
          <w:rStyle w:val="11"/>
          <w:rFonts w:hint="eastAsia" w:ascii="Times New Roman" w:hAnsi="Times New Roman" w:cs="Times New Roman"/>
          <w:color w:val="auto"/>
        </w:rPr>
        <w:t>20</w:t>
      </w:r>
      <w:r>
        <w:rPr>
          <w:rStyle w:val="11"/>
          <w:rFonts w:ascii="Times New Roman" w:hAnsi="Times New Roman" w:cs="Times New Roman"/>
          <w:color w:val="auto"/>
        </w:rPr>
        <w:t>日以电子邮件的方式发出。</w:t>
      </w:r>
      <w:r>
        <w:rPr>
          <w:rStyle w:val="11"/>
          <w:rFonts w:ascii="Times New Roman" w:hAnsi="Times New Roman" w:cs="Times New Roman"/>
        </w:rPr>
        <w:t>应</w:t>
      </w:r>
      <w:r>
        <w:rPr>
          <w:rStyle w:val="11"/>
          <w:rFonts w:hint="eastAsia" w:ascii="Times New Roman" w:hAnsi="Times New Roman" w:cs="Times New Roman"/>
        </w:rPr>
        <w:t>出席</w:t>
      </w:r>
      <w:r>
        <w:rPr>
          <w:rStyle w:val="11"/>
          <w:rFonts w:ascii="Times New Roman" w:hAnsi="Times New Roman" w:cs="Times New Roman"/>
        </w:rPr>
        <w:t>会议董事11名，</w:t>
      </w:r>
      <w:r>
        <w:rPr>
          <w:rStyle w:val="11"/>
          <w:rFonts w:hint="eastAsia" w:ascii="Times New Roman" w:hAnsi="Times New Roman" w:cs="Times New Roman"/>
        </w:rPr>
        <w:t>实际</w:t>
      </w:r>
      <w:r>
        <w:rPr>
          <w:rStyle w:val="11"/>
          <w:rFonts w:ascii="Times New Roman" w:hAnsi="Times New Roman" w:cs="Times New Roman"/>
        </w:rPr>
        <w:t>出席会议董事11名，其中，参加现场表决的董事</w:t>
      </w:r>
      <w:r>
        <w:rPr>
          <w:rStyle w:val="11"/>
          <w:rFonts w:hint="eastAsia" w:ascii="Times New Roman" w:hAnsi="Times New Roman" w:cs="Times New Roman"/>
          <w:lang w:val="en-US" w:eastAsia="zh-CN"/>
        </w:rPr>
        <w:t>7</w:t>
      </w:r>
      <w:r>
        <w:rPr>
          <w:rStyle w:val="11"/>
          <w:rFonts w:ascii="Times New Roman" w:hAnsi="Times New Roman" w:cs="Times New Roman"/>
        </w:rPr>
        <w:t>名，公司</w:t>
      </w:r>
      <w:r>
        <w:rPr>
          <w:rStyle w:val="11"/>
          <w:rFonts w:hint="eastAsia" w:ascii="Times New Roman" w:hAnsi="Times New Roman" w:cs="Times New Roman"/>
        </w:rPr>
        <w:t>非独立</w:t>
      </w:r>
      <w:r>
        <w:rPr>
          <w:rStyle w:val="11"/>
          <w:rFonts w:ascii="Times New Roman" w:hAnsi="Times New Roman" w:cs="Times New Roman"/>
        </w:rPr>
        <w:t>董事</w:t>
      </w:r>
      <w:r>
        <w:rPr>
          <w:rStyle w:val="11"/>
          <w:rFonts w:hint="eastAsia" w:ascii="Times New Roman" w:hAnsi="Times New Roman" w:cs="Times New Roman"/>
        </w:rPr>
        <w:t>吴莉敏女士、孙昊女士、</w:t>
      </w:r>
      <w:r>
        <w:rPr>
          <w:rStyle w:val="11"/>
          <w:rFonts w:ascii="Times New Roman" w:hAnsi="Times New Roman" w:cs="Times New Roman"/>
        </w:rPr>
        <w:t>苏明波先生</w:t>
      </w:r>
      <w:r>
        <w:rPr>
          <w:rStyle w:val="11"/>
          <w:rFonts w:hint="eastAsia" w:ascii="Times New Roman" w:hAnsi="Times New Roman" w:cs="Times New Roman"/>
          <w:lang w:eastAsia="zh-CN"/>
        </w:rPr>
        <w:t>，</w:t>
      </w:r>
      <w:r>
        <w:rPr>
          <w:rStyle w:val="11"/>
          <w:rFonts w:hint="eastAsia" w:ascii="Times New Roman" w:hAnsi="Times New Roman" w:cs="Times New Roman"/>
          <w:lang w:val="en-US" w:eastAsia="zh-CN"/>
        </w:rPr>
        <w:t>独立董事黄静女士</w:t>
      </w:r>
      <w:r>
        <w:rPr>
          <w:rStyle w:val="11"/>
          <w:rFonts w:ascii="Times New Roman" w:hAnsi="Times New Roman" w:cs="Times New Roman"/>
        </w:rPr>
        <w:t>以通讯表决方式参加会议。</w:t>
      </w:r>
      <w:r>
        <w:rPr>
          <w:rFonts w:hint="eastAsia"/>
        </w:rPr>
        <w:t>会议由李军董事长主持，</w:t>
      </w:r>
      <w:r>
        <w:rPr>
          <w:rStyle w:val="11"/>
          <w:rFonts w:ascii="Times New Roman" w:hAnsi="Times New Roman" w:cs="Times New Roman"/>
          <w:color w:val="auto"/>
        </w:rPr>
        <w:t>公司</w:t>
      </w:r>
      <w:r>
        <w:rPr>
          <w:rStyle w:val="11"/>
          <w:rFonts w:hint="eastAsia" w:ascii="Times New Roman" w:hAnsi="Times New Roman" w:cs="Times New Roman"/>
          <w:color w:val="auto"/>
        </w:rPr>
        <w:t>部分</w:t>
      </w:r>
      <w:r>
        <w:rPr>
          <w:rStyle w:val="11"/>
          <w:rFonts w:ascii="Times New Roman" w:hAnsi="Times New Roman" w:cs="Times New Roman"/>
          <w:color w:val="auto"/>
        </w:rPr>
        <w:t>监事及高</w:t>
      </w:r>
      <w:bookmarkStart w:id="0" w:name="_GoBack"/>
      <w:bookmarkEnd w:id="0"/>
      <w:r>
        <w:rPr>
          <w:rStyle w:val="11"/>
          <w:rFonts w:ascii="Times New Roman" w:hAnsi="Times New Roman" w:cs="Times New Roman"/>
          <w:color w:val="auto"/>
        </w:rPr>
        <w:t>级管理人员列席了会议。</w:t>
      </w:r>
      <w:r>
        <w:rPr>
          <w:rStyle w:val="11"/>
          <w:rFonts w:ascii="Times New Roman" w:hAnsi="Times New Roman" w:cs="Times New Roman"/>
        </w:rPr>
        <w:t>参加会议的董事符合法定人数，董事会的召集、召开及表决程序符合《公司法》及本公司章程的规定。会议审议通过了以下议案：</w:t>
      </w:r>
    </w:p>
    <w:p>
      <w:pPr>
        <w:pStyle w:val="6"/>
        <w:adjustRightInd w:val="0"/>
        <w:snapToGrid w:val="0"/>
        <w:spacing w:before="0" w:beforeAutospacing="0" w:after="0" w:afterAutospacing="0" w:line="440" w:lineRule="exact"/>
        <w:ind w:firstLine="480" w:firstLineChars="200"/>
        <w:jc w:val="both"/>
        <w:rPr>
          <w:rFonts w:ascii="黑体" w:hAnsi="黑体" w:eastAsia="黑体" w:cs="Times New Roman"/>
        </w:rPr>
      </w:pPr>
      <w:r>
        <w:rPr>
          <w:rStyle w:val="11"/>
          <w:rFonts w:ascii="黑体" w:hAnsi="黑体" w:eastAsia="黑体" w:cs="Times New Roman"/>
        </w:rPr>
        <w:t>一、</w:t>
      </w:r>
      <w:r>
        <w:rPr>
          <w:rFonts w:hint="eastAsia" w:ascii="黑体" w:hAnsi="黑体" w:eastAsia="黑体"/>
        </w:rPr>
        <w:t>公司2021年第三季度报告</w:t>
      </w:r>
      <w:r>
        <w:rPr>
          <w:rFonts w:ascii="黑体" w:hAnsi="黑体" w:eastAsia="黑体" w:cs="Times New Roman"/>
        </w:rPr>
        <w:t>。</w:t>
      </w:r>
    </w:p>
    <w:p>
      <w:pPr>
        <w:pStyle w:val="6"/>
        <w:adjustRightInd w:val="0"/>
        <w:snapToGrid w:val="0"/>
        <w:spacing w:before="0" w:beforeAutospacing="0" w:after="0" w:afterAutospacing="0" w:line="440" w:lineRule="exact"/>
        <w:ind w:firstLine="480" w:firstLineChars="200"/>
        <w:jc w:val="both"/>
      </w:pPr>
      <w:r>
        <w:t>具体内容详见公司同日于《中国证券报》《证券时报》《上海证券报》及巨潮资讯网（www.cninfo.com.cn）披露的《</w:t>
      </w:r>
      <w:r>
        <w:rPr>
          <w:rFonts w:hint="eastAsia"/>
        </w:rPr>
        <w:t>中百控股集团</w:t>
      </w:r>
      <w:r>
        <w:t>股份有限公司</w:t>
      </w:r>
      <w:r>
        <w:rPr>
          <w:rFonts w:hint="eastAsia"/>
        </w:rPr>
        <w:t>2021年第三季度报告</w:t>
      </w:r>
      <w:r>
        <w:t>》（公告编号2021-0</w:t>
      </w:r>
      <w:r>
        <w:rPr>
          <w:rFonts w:hint="eastAsia"/>
        </w:rPr>
        <w:t>67</w:t>
      </w:r>
      <w:r>
        <w:t>）</w:t>
      </w:r>
      <w:r>
        <w:rPr>
          <w:rFonts w:hint="eastAsia"/>
        </w:rPr>
        <w:t>。</w:t>
      </w:r>
    </w:p>
    <w:p>
      <w:pPr>
        <w:pStyle w:val="6"/>
        <w:adjustRightInd w:val="0"/>
        <w:snapToGrid w:val="0"/>
        <w:spacing w:before="0" w:beforeAutospacing="0" w:after="0" w:afterAutospacing="0" w:line="440" w:lineRule="exact"/>
        <w:ind w:firstLine="480" w:firstLineChars="200"/>
        <w:jc w:val="both"/>
        <w:rPr>
          <w:rStyle w:val="11"/>
          <w:rFonts w:ascii="Times New Roman" w:hAnsi="Times New Roman" w:cs="Times New Roman"/>
          <w:color w:val="auto"/>
        </w:rPr>
      </w:pPr>
      <w:r>
        <w:rPr>
          <w:rStyle w:val="11"/>
          <w:rFonts w:ascii="Times New Roman" w:hAnsi="Times New Roman" w:cs="Times New Roman"/>
          <w:color w:val="auto"/>
        </w:rPr>
        <w:t>表决结果：11票</w:t>
      </w:r>
      <w:r>
        <w:rPr>
          <w:rStyle w:val="11"/>
          <w:rFonts w:hint="eastAsia" w:ascii="Times New Roman" w:hAnsi="Times New Roman" w:cs="Times New Roman"/>
          <w:color w:val="auto"/>
        </w:rPr>
        <w:t>同意</w:t>
      </w:r>
      <w:r>
        <w:rPr>
          <w:rStyle w:val="11"/>
          <w:rFonts w:ascii="Times New Roman" w:hAnsi="Times New Roman" w:cs="Times New Roman"/>
          <w:color w:val="auto"/>
        </w:rPr>
        <w:t>，0票反对，0票弃权。</w:t>
      </w:r>
    </w:p>
    <w:p>
      <w:pPr>
        <w:pStyle w:val="6"/>
        <w:adjustRightInd w:val="0"/>
        <w:snapToGrid w:val="0"/>
        <w:spacing w:before="0" w:beforeAutospacing="0" w:after="0" w:afterAutospacing="0" w:line="440" w:lineRule="exact"/>
        <w:ind w:firstLine="480" w:firstLineChars="200"/>
        <w:jc w:val="both"/>
        <w:rPr>
          <w:rStyle w:val="11"/>
          <w:rFonts w:ascii="黑体" w:hAnsi="黑体" w:eastAsia="黑体" w:cs="Times New Roman"/>
        </w:rPr>
      </w:pPr>
      <w:r>
        <w:rPr>
          <w:rStyle w:val="11"/>
          <w:rFonts w:ascii="黑体" w:hAnsi="黑体" w:eastAsia="黑体" w:cs="Times New Roman"/>
        </w:rPr>
        <w:t>二、</w:t>
      </w:r>
      <w:r>
        <w:rPr>
          <w:rStyle w:val="11"/>
          <w:rFonts w:hint="eastAsia" w:ascii="黑体" w:hAnsi="黑体" w:eastAsia="黑体" w:cs="Times New Roman"/>
        </w:rPr>
        <w:t>关于修订《信息披露制度》的议案</w:t>
      </w:r>
      <w:r>
        <w:rPr>
          <w:rStyle w:val="11"/>
          <w:rFonts w:ascii="黑体" w:hAnsi="黑体" w:eastAsia="黑体" w:cs="Times New Roman"/>
        </w:rPr>
        <w:t>。</w:t>
      </w:r>
    </w:p>
    <w:p>
      <w:pPr>
        <w:pStyle w:val="6"/>
        <w:adjustRightInd w:val="0"/>
        <w:snapToGrid w:val="0"/>
        <w:spacing w:before="0" w:beforeAutospacing="0" w:after="0" w:afterAutospacing="0" w:line="440" w:lineRule="exact"/>
        <w:ind w:firstLine="480" w:firstLineChars="200"/>
        <w:jc w:val="both"/>
        <w:rPr>
          <w:rStyle w:val="11"/>
          <w:rFonts w:cs="Times New Roman"/>
        </w:rPr>
      </w:pPr>
      <w:r>
        <w:rPr>
          <w:rStyle w:val="11"/>
          <w:rFonts w:hint="eastAsia" w:cs="Times New Roman"/>
        </w:rPr>
        <w:t>《中百控股集团股份有限公司信息披露制度》详见当日巨潮网公告。</w:t>
      </w:r>
    </w:p>
    <w:p>
      <w:pPr>
        <w:pStyle w:val="6"/>
        <w:adjustRightInd w:val="0"/>
        <w:snapToGrid w:val="0"/>
        <w:spacing w:before="0" w:beforeAutospacing="0" w:after="0" w:afterAutospacing="0" w:line="440" w:lineRule="exact"/>
        <w:ind w:firstLine="480" w:firstLineChars="200"/>
        <w:jc w:val="both"/>
        <w:rPr>
          <w:rStyle w:val="11"/>
          <w:rFonts w:ascii="Times New Roman" w:hAnsi="Times New Roman" w:cs="Times New Roman"/>
          <w:color w:val="auto"/>
        </w:rPr>
      </w:pPr>
      <w:r>
        <w:rPr>
          <w:rStyle w:val="11"/>
          <w:rFonts w:ascii="Times New Roman" w:hAnsi="Times New Roman" w:cs="Times New Roman"/>
          <w:color w:val="auto"/>
        </w:rPr>
        <w:t>表决结果：11票</w:t>
      </w:r>
      <w:r>
        <w:rPr>
          <w:rStyle w:val="11"/>
          <w:rFonts w:hint="eastAsia" w:ascii="Times New Roman" w:hAnsi="Times New Roman" w:cs="Times New Roman"/>
          <w:color w:val="auto"/>
        </w:rPr>
        <w:t>同意</w:t>
      </w:r>
      <w:r>
        <w:rPr>
          <w:rStyle w:val="11"/>
          <w:rFonts w:ascii="Times New Roman" w:hAnsi="Times New Roman" w:cs="Times New Roman"/>
          <w:color w:val="auto"/>
        </w:rPr>
        <w:t>，0票反对，0票弃权。</w:t>
      </w:r>
    </w:p>
    <w:p>
      <w:pPr>
        <w:pStyle w:val="6"/>
        <w:adjustRightInd w:val="0"/>
        <w:snapToGrid w:val="0"/>
        <w:spacing w:before="0" w:beforeAutospacing="0" w:after="0" w:afterAutospacing="0" w:line="440" w:lineRule="exact"/>
        <w:ind w:firstLine="480" w:firstLineChars="200"/>
        <w:jc w:val="both"/>
        <w:rPr>
          <w:rStyle w:val="11"/>
          <w:rFonts w:ascii="黑体" w:hAnsi="黑体" w:eastAsia="黑体"/>
        </w:rPr>
      </w:pPr>
      <w:r>
        <w:rPr>
          <w:rStyle w:val="11"/>
          <w:rFonts w:ascii="黑体" w:hAnsi="黑体" w:eastAsia="黑体" w:cs="Times New Roman"/>
        </w:rPr>
        <w:t>三、</w:t>
      </w:r>
      <w:r>
        <w:rPr>
          <w:rStyle w:val="11"/>
          <w:rFonts w:hint="eastAsia" w:ascii="黑体" w:hAnsi="黑体" w:eastAsia="黑体" w:cs="Times New Roman"/>
        </w:rPr>
        <w:t>关于制定《企业负责人薪酬与经营业绩考核管理办法》的议案</w:t>
      </w:r>
      <w:r>
        <w:rPr>
          <w:rStyle w:val="11"/>
          <w:rFonts w:ascii="黑体" w:hAnsi="黑体" w:eastAsia="黑体"/>
        </w:rPr>
        <w:t>。</w:t>
      </w:r>
    </w:p>
    <w:p>
      <w:pPr>
        <w:pStyle w:val="6"/>
        <w:adjustRightInd w:val="0"/>
        <w:snapToGrid w:val="0"/>
        <w:spacing w:before="0" w:beforeAutospacing="0" w:after="0" w:afterAutospacing="0" w:line="440" w:lineRule="exact"/>
        <w:ind w:firstLine="480" w:firstLineChars="200"/>
        <w:jc w:val="both"/>
        <w:rPr>
          <w:rStyle w:val="11"/>
          <w:rFonts w:ascii="Times New Roman" w:hAnsi="Times New Roman" w:cs="Times New Roman"/>
          <w:color w:val="auto"/>
        </w:rPr>
      </w:pPr>
      <w:r>
        <w:rPr>
          <w:rStyle w:val="11"/>
          <w:rFonts w:hint="eastAsia" w:ascii="Times New Roman" w:hAnsi="Times New Roman" w:cs="Times New Roman"/>
          <w:color w:val="auto"/>
        </w:rPr>
        <w:t>《中百控股集团股份有限公司企业负责人薪酬与经营业绩考核管理办法》详见当日巨潮网公告。该议案尚需提交公司股东大会审议批准。</w:t>
      </w:r>
    </w:p>
    <w:p>
      <w:pPr>
        <w:pStyle w:val="6"/>
        <w:adjustRightInd w:val="0"/>
        <w:snapToGrid w:val="0"/>
        <w:spacing w:before="0" w:beforeAutospacing="0" w:after="0" w:afterAutospacing="0" w:line="440" w:lineRule="exact"/>
        <w:ind w:firstLine="480" w:firstLineChars="200"/>
        <w:jc w:val="both"/>
        <w:rPr>
          <w:rStyle w:val="11"/>
          <w:rFonts w:ascii="Times New Roman" w:hAnsi="Times New Roman" w:cs="Times New Roman"/>
          <w:color w:val="auto"/>
        </w:rPr>
      </w:pPr>
      <w:r>
        <w:rPr>
          <w:rStyle w:val="11"/>
          <w:rFonts w:hint="eastAsia" w:ascii="Times New Roman" w:hAnsi="Times New Roman" w:cs="Times New Roman"/>
          <w:color w:val="auto"/>
        </w:rPr>
        <w:t>公司独立董事发表了相关独立意见，详见公司当日在巨潮资讯网披露的《独立董事关于第十届董事会第七次会议相关事项的独立意见》。</w:t>
      </w:r>
    </w:p>
    <w:p>
      <w:pPr>
        <w:pStyle w:val="6"/>
        <w:adjustRightInd w:val="0"/>
        <w:snapToGrid w:val="0"/>
        <w:spacing w:before="0" w:beforeAutospacing="0" w:after="0" w:afterAutospacing="0" w:line="440" w:lineRule="exact"/>
        <w:ind w:firstLine="480" w:firstLineChars="200"/>
        <w:jc w:val="both"/>
      </w:pPr>
      <w:r>
        <w:rPr>
          <w:rStyle w:val="11"/>
          <w:rFonts w:ascii="Times New Roman" w:hAnsi="Times New Roman" w:cs="Times New Roman"/>
          <w:color w:val="auto"/>
        </w:rPr>
        <w:t>表决结果：11票</w:t>
      </w:r>
      <w:r>
        <w:rPr>
          <w:rStyle w:val="11"/>
          <w:rFonts w:hint="eastAsia" w:ascii="Times New Roman" w:hAnsi="Times New Roman" w:cs="Times New Roman"/>
          <w:color w:val="auto"/>
        </w:rPr>
        <w:t>同意</w:t>
      </w:r>
      <w:r>
        <w:rPr>
          <w:rStyle w:val="11"/>
          <w:rFonts w:ascii="Times New Roman" w:hAnsi="Times New Roman" w:cs="Times New Roman"/>
          <w:color w:val="auto"/>
        </w:rPr>
        <w:t>，0票反对，0票弃权。</w:t>
      </w:r>
    </w:p>
    <w:p>
      <w:pPr>
        <w:autoSpaceDE w:val="0"/>
        <w:autoSpaceDN w:val="0"/>
        <w:adjustRightInd w:val="0"/>
        <w:snapToGrid w:val="0"/>
        <w:spacing w:line="440" w:lineRule="exact"/>
        <w:ind w:firstLine="480" w:firstLineChars="200"/>
        <w:jc w:val="left"/>
        <w:rPr>
          <w:rStyle w:val="11"/>
          <w:kern w:val="0"/>
          <w:sz w:val="24"/>
        </w:rPr>
      </w:pPr>
      <w:r>
        <w:rPr>
          <w:rFonts w:hint="eastAsia"/>
          <w:kern w:val="0"/>
          <w:sz w:val="24"/>
        </w:rPr>
        <w:t>特此公告。</w:t>
      </w:r>
    </w:p>
    <w:p>
      <w:pPr>
        <w:pStyle w:val="6"/>
        <w:adjustRightInd w:val="0"/>
        <w:snapToGrid w:val="0"/>
        <w:spacing w:before="0" w:beforeAutospacing="0" w:after="0" w:afterAutospacing="0" w:line="440" w:lineRule="exact"/>
        <w:ind w:firstLine="3600" w:firstLineChars="1500"/>
        <w:jc w:val="center"/>
        <w:rPr>
          <w:rStyle w:val="11"/>
          <w:rFonts w:ascii="Times New Roman" w:hAnsi="Times New Roman" w:cs="Times New Roman"/>
          <w:color w:val="auto"/>
        </w:rPr>
      </w:pPr>
      <w:r>
        <w:rPr>
          <w:rStyle w:val="11"/>
          <w:rFonts w:ascii="Times New Roman" w:hAnsi="Times New Roman" w:cs="Times New Roman"/>
          <w:color w:val="auto"/>
        </w:rPr>
        <w:t xml:space="preserve">        中百控股集团股份有限公司董事会</w:t>
      </w:r>
    </w:p>
    <w:p>
      <w:pPr>
        <w:pStyle w:val="6"/>
        <w:adjustRightInd w:val="0"/>
        <w:snapToGrid w:val="0"/>
        <w:spacing w:before="0" w:beforeAutospacing="0" w:after="0" w:afterAutospacing="0" w:line="440" w:lineRule="exact"/>
        <w:ind w:firstLine="3600" w:firstLineChars="1500"/>
        <w:jc w:val="center"/>
        <w:rPr>
          <w:rFonts w:ascii="Times New Roman" w:hAnsi="Times New Roman" w:cs="Times New Roman"/>
          <w:color w:val="auto"/>
        </w:rPr>
      </w:pPr>
      <w:r>
        <w:rPr>
          <w:rStyle w:val="11"/>
          <w:rFonts w:ascii="Times New Roman" w:hAnsi="Times New Roman" w:cs="Times New Roman"/>
          <w:color w:val="auto"/>
        </w:rPr>
        <w:t xml:space="preserve">         </w:t>
      </w:r>
      <w:r>
        <w:rPr>
          <w:rStyle w:val="11"/>
          <w:rFonts w:hint="eastAsia" w:ascii="Times New Roman" w:hAnsi="Times New Roman" w:cs="Times New Roman"/>
          <w:color w:val="auto"/>
        </w:rPr>
        <w:t>2021年10月29日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1617"/>
    <w:rsid w:val="00001B7B"/>
    <w:rsid w:val="0000398D"/>
    <w:rsid w:val="0000556C"/>
    <w:rsid w:val="000134F6"/>
    <w:rsid w:val="00041C9F"/>
    <w:rsid w:val="00044247"/>
    <w:rsid w:val="0004797F"/>
    <w:rsid w:val="00052C28"/>
    <w:rsid w:val="00054CF6"/>
    <w:rsid w:val="00070D20"/>
    <w:rsid w:val="00071906"/>
    <w:rsid w:val="00072626"/>
    <w:rsid w:val="00074432"/>
    <w:rsid w:val="000756FF"/>
    <w:rsid w:val="00075C73"/>
    <w:rsid w:val="00090184"/>
    <w:rsid w:val="00096D22"/>
    <w:rsid w:val="000A1C11"/>
    <w:rsid w:val="000A5390"/>
    <w:rsid w:val="000B01A0"/>
    <w:rsid w:val="000B6EA8"/>
    <w:rsid w:val="000D1081"/>
    <w:rsid w:val="000D1617"/>
    <w:rsid w:val="000D4A4A"/>
    <w:rsid w:val="000D7CD8"/>
    <w:rsid w:val="000F6E21"/>
    <w:rsid w:val="00105B68"/>
    <w:rsid w:val="00111821"/>
    <w:rsid w:val="001129F0"/>
    <w:rsid w:val="00112C0F"/>
    <w:rsid w:val="00121082"/>
    <w:rsid w:val="001355DA"/>
    <w:rsid w:val="0014036D"/>
    <w:rsid w:val="0014403E"/>
    <w:rsid w:val="001753B1"/>
    <w:rsid w:val="001754D7"/>
    <w:rsid w:val="00176A44"/>
    <w:rsid w:val="00181E69"/>
    <w:rsid w:val="0018223E"/>
    <w:rsid w:val="00184984"/>
    <w:rsid w:val="0018617B"/>
    <w:rsid w:val="0019115C"/>
    <w:rsid w:val="00197BC8"/>
    <w:rsid w:val="001A1925"/>
    <w:rsid w:val="001A5457"/>
    <w:rsid w:val="001B1D4C"/>
    <w:rsid w:val="001D40BD"/>
    <w:rsid w:val="001D6CF4"/>
    <w:rsid w:val="001D79CF"/>
    <w:rsid w:val="001E791E"/>
    <w:rsid w:val="001F2C7A"/>
    <w:rsid w:val="001F55D6"/>
    <w:rsid w:val="00201307"/>
    <w:rsid w:val="00250308"/>
    <w:rsid w:val="002519EC"/>
    <w:rsid w:val="00283BF0"/>
    <w:rsid w:val="002840F7"/>
    <w:rsid w:val="002B1132"/>
    <w:rsid w:val="002B1660"/>
    <w:rsid w:val="002B379F"/>
    <w:rsid w:val="002C1370"/>
    <w:rsid w:val="002E10E6"/>
    <w:rsid w:val="002E1755"/>
    <w:rsid w:val="002E441B"/>
    <w:rsid w:val="0030760A"/>
    <w:rsid w:val="0032515E"/>
    <w:rsid w:val="00325773"/>
    <w:rsid w:val="003456F5"/>
    <w:rsid w:val="00345979"/>
    <w:rsid w:val="0036321C"/>
    <w:rsid w:val="00372435"/>
    <w:rsid w:val="00374B8D"/>
    <w:rsid w:val="00386199"/>
    <w:rsid w:val="00387C31"/>
    <w:rsid w:val="00391483"/>
    <w:rsid w:val="003A07AC"/>
    <w:rsid w:val="003B1884"/>
    <w:rsid w:val="003B4BEA"/>
    <w:rsid w:val="003E2862"/>
    <w:rsid w:val="00410DA8"/>
    <w:rsid w:val="0044735F"/>
    <w:rsid w:val="00447F5F"/>
    <w:rsid w:val="00454E00"/>
    <w:rsid w:val="00470CAB"/>
    <w:rsid w:val="00474375"/>
    <w:rsid w:val="004751B7"/>
    <w:rsid w:val="0049525B"/>
    <w:rsid w:val="004A01D8"/>
    <w:rsid w:val="004A0311"/>
    <w:rsid w:val="004A312A"/>
    <w:rsid w:val="004A6661"/>
    <w:rsid w:val="004B3A5E"/>
    <w:rsid w:val="004B71F7"/>
    <w:rsid w:val="004C1724"/>
    <w:rsid w:val="004C30AE"/>
    <w:rsid w:val="004D1F31"/>
    <w:rsid w:val="004E1F6B"/>
    <w:rsid w:val="0051522A"/>
    <w:rsid w:val="00515B1B"/>
    <w:rsid w:val="005338EF"/>
    <w:rsid w:val="00551D9B"/>
    <w:rsid w:val="00555F7B"/>
    <w:rsid w:val="005620FD"/>
    <w:rsid w:val="00562841"/>
    <w:rsid w:val="00563542"/>
    <w:rsid w:val="00574B67"/>
    <w:rsid w:val="005831FE"/>
    <w:rsid w:val="00587CAF"/>
    <w:rsid w:val="00592C42"/>
    <w:rsid w:val="005A0CDE"/>
    <w:rsid w:val="005A3711"/>
    <w:rsid w:val="005A753C"/>
    <w:rsid w:val="005B3F87"/>
    <w:rsid w:val="005B4745"/>
    <w:rsid w:val="005C1B02"/>
    <w:rsid w:val="005D1998"/>
    <w:rsid w:val="005D7A54"/>
    <w:rsid w:val="005E0855"/>
    <w:rsid w:val="005E1DFD"/>
    <w:rsid w:val="005E27E5"/>
    <w:rsid w:val="005E2D57"/>
    <w:rsid w:val="005E33F3"/>
    <w:rsid w:val="005E4674"/>
    <w:rsid w:val="005F1E9B"/>
    <w:rsid w:val="00600D45"/>
    <w:rsid w:val="00607657"/>
    <w:rsid w:val="00607F22"/>
    <w:rsid w:val="006207CC"/>
    <w:rsid w:val="00621793"/>
    <w:rsid w:val="00637A69"/>
    <w:rsid w:val="00637FA1"/>
    <w:rsid w:val="0064023E"/>
    <w:rsid w:val="0064228D"/>
    <w:rsid w:val="006423FE"/>
    <w:rsid w:val="00644C3C"/>
    <w:rsid w:val="00652F25"/>
    <w:rsid w:val="00667C6B"/>
    <w:rsid w:val="00671EDF"/>
    <w:rsid w:val="00675F3D"/>
    <w:rsid w:val="0067676F"/>
    <w:rsid w:val="0068303E"/>
    <w:rsid w:val="00691DA9"/>
    <w:rsid w:val="00697EAD"/>
    <w:rsid w:val="006A1975"/>
    <w:rsid w:val="006A2866"/>
    <w:rsid w:val="006A7640"/>
    <w:rsid w:val="006B1BAC"/>
    <w:rsid w:val="006C60CB"/>
    <w:rsid w:val="006D013D"/>
    <w:rsid w:val="006E5BE0"/>
    <w:rsid w:val="006E603A"/>
    <w:rsid w:val="006F0865"/>
    <w:rsid w:val="006F7F66"/>
    <w:rsid w:val="00701CEA"/>
    <w:rsid w:val="007174C9"/>
    <w:rsid w:val="0072728F"/>
    <w:rsid w:val="00731720"/>
    <w:rsid w:val="00737C50"/>
    <w:rsid w:val="00751B1F"/>
    <w:rsid w:val="007657C8"/>
    <w:rsid w:val="00775905"/>
    <w:rsid w:val="00777C97"/>
    <w:rsid w:val="00787164"/>
    <w:rsid w:val="00791970"/>
    <w:rsid w:val="00796E3B"/>
    <w:rsid w:val="00797155"/>
    <w:rsid w:val="007A278D"/>
    <w:rsid w:val="007A7E0D"/>
    <w:rsid w:val="007B14D4"/>
    <w:rsid w:val="007B7D62"/>
    <w:rsid w:val="007D0805"/>
    <w:rsid w:val="007D5B5A"/>
    <w:rsid w:val="007E2723"/>
    <w:rsid w:val="007E2EC4"/>
    <w:rsid w:val="007E44E1"/>
    <w:rsid w:val="007E5E5E"/>
    <w:rsid w:val="007F2A7C"/>
    <w:rsid w:val="007F3980"/>
    <w:rsid w:val="00801ABD"/>
    <w:rsid w:val="00802396"/>
    <w:rsid w:val="00805866"/>
    <w:rsid w:val="00824B14"/>
    <w:rsid w:val="0083507E"/>
    <w:rsid w:val="0083762F"/>
    <w:rsid w:val="0084055D"/>
    <w:rsid w:val="00851E70"/>
    <w:rsid w:val="008548A2"/>
    <w:rsid w:val="008559A4"/>
    <w:rsid w:val="0086011F"/>
    <w:rsid w:val="008622E0"/>
    <w:rsid w:val="00862A1C"/>
    <w:rsid w:val="00873FE5"/>
    <w:rsid w:val="008765AD"/>
    <w:rsid w:val="00877333"/>
    <w:rsid w:val="008847FC"/>
    <w:rsid w:val="00890C86"/>
    <w:rsid w:val="008917B8"/>
    <w:rsid w:val="008930BD"/>
    <w:rsid w:val="008A218E"/>
    <w:rsid w:val="008B1797"/>
    <w:rsid w:val="008C1534"/>
    <w:rsid w:val="008C338A"/>
    <w:rsid w:val="008D0DB9"/>
    <w:rsid w:val="008D485B"/>
    <w:rsid w:val="008D4F4A"/>
    <w:rsid w:val="008D5433"/>
    <w:rsid w:val="008D54B7"/>
    <w:rsid w:val="008E094F"/>
    <w:rsid w:val="008E30F7"/>
    <w:rsid w:val="008F24BB"/>
    <w:rsid w:val="008F3FBF"/>
    <w:rsid w:val="00901731"/>
    <w:rsid w:val="00906953"/>
    <w:rsid w:val="00907A6F"/>
    <w:rsid w:val="00912596"/>
    <w:rsid w:val="00922387"/>
    <w:rsid w:val="00936593"/>
    <w:rsid w:val="009405AC"/>
    <w:rsid w:val="00940611"/>
    <w:rsid w:val="00941FA1"/>
    <w:rsid w:val="009525A5"/>
    <w:rsid w:val="009631F1"/>
    <w:rsid w:val="00964934"/>
    <w:rsid w:val="00976DF3"/>
    <w:rsid w:val="009829C7"/>
    <w:rsid w:val="0099148A"/>
    <w:rsid w:val="009932D2"/>
    <w:rsid w:val="009A4A3A"/>
    <w:rsid w:val="009B3ED4"/>
    <w:rsid w:val="009C2465"/>
    <w:rsid w:val="009D0F99"/>
    <w:rsid w:val="009D39DD"/>
    <w:rsid w:val="009E21C6"/>
    <w:rsid w:val="009E2447"/>
    <w:rsid w:val="009E38F5"/>
    <w:rsid w:val="009E673F"/>
    <w:rsid w:val="009F2519"/>
    <w:rsid w:val="009F42C3"/>
    <w:rsid w:val="00A13A58"/>
    <w:rsid w:val="00A315EF"/>
    <w:rsid w:val="00A3784A"/>
    <w:rsid w:val="00A406E5"/>
    <w:rsid w:val="00A63E26"/>
    <w:rsid w:val="00A71A71"/>
    <w:rsid w:val="00A7399E"/>
    <w:rsid w:val="00A77837"/>
    <w:rsid w:val="00A81798"/>
    <w:rsid w:val="00A96A32"/>
    <w:rsid w:val="00AC450A"/>
    <w:rsid w:val="00AD6EC3"/>
    <w:rsid w:val="00AD73D4"/>
    <w:rsid w:val="00AF1160"/>
    <w:rsid w:val="00B000C1"/>
    <w:rsid w:val="00B0716E"/>
    <w:rsid w:val="00B07302"/>
    <w:rsid w:val="00B23FC7"/>
    <w:rsid w:val="00B27B4C"/>
    <w:rsid w:val="00B42E65"/>
    <w:rsid w:val="00B514B5"/>
    <w:rsid w:val="00B55845"/>
    <w:rsid w:val="00B55E56"/>
    <w:rsid w:val="00B7015E"/>
    <w:rsid w:val="00B800E8"/>
    <w:rsid w:val="00B81C34"/>
    <w:rsid w:val="00B85277"/>
    <w:rsid w:val="00BA1CFF"/>
    <w:rsid w:val="00BA7BEC"/>
    <w:rsid w:val="00BB492C"/>
    <w:rsid w:val="00BB4C2A"/>
    <w:rsid w:val="00BB5E5D"/>
    <w:rsid w:val="00BB7038"/>
    <w:rsid w:val="00BC2789"/>
    <w:rsid w:val="00BC351F"/>
    <w:rsid w:val="00BD4ED3"/>
    <w:rsid w:val="00BE3CC0"/>
    <w:rsid w:val="00BF3C1D"/>
    <w:rsid w:val="00BF5F11"/>
    <w:rsid w:val="00BF7B86"/>
    <w:rsid w:val="00C15C22"/>
    <w:rsid w:val="00C16847"/>
    <w:rsid w:val="00C17E67"/>
    <w:rsid w:val="00C32134"/>
    <w:rsid w:val="00C42F3B"/>
    <w:rsid w:val="00C50925"/>
    <w:rsid w:val="00C52317"/>
    <w:rsid w:val="00C82BA1"/>
    <w:rsid w:val="00C945A8"/>
    <w:rsid w:val="00C9524A"/>
    <w:rsid w:val="00CA0FDE"/>
    <w:rsid w:val="00CA107C"/>
    <w:rsid w:val="00CB0828"/>
    <w:rsid w:val="00CB2819"/>
    <w:rsid w:val="00CB6582"/>
    <w:rsid w:val="00CC70EA"/>
    <w:rsid w:val="00CC73E7"/>
    <w:rsid w:val="00CC7996"/>
    <w:rsid w:val="00CD2DCE"/>
    <w:rsid w:val="00CD4C2A"/>
    <w:rsid w:val="00CD621A"/>
    <w:rsid w:val="00CD66D0"/>
    <w:rsid w:val="00CE0361"/>
    <w:rsid w:val="00CE21C6"/>
    <w:rsid w:val="00CE419C"/>
    <w:rsid w:val="00CF64B3"/>
    <w:rsid w:val="00D10038"/>
    <w:rsid w:val="00D16F36"/>
    <w:rsid w:val="00D22A30"/>
    <w:rsid w:val="00D31180"/>
    <w:rsid w:val="00D3279B"/>
    <w:rsid w:val="00D52024"/>
    <w:rsid w:val="00D5413D"/>
    <w:rsid w:val="00D572A3"/>
    <w:rsid w:val="00D629C3"/>
    <w:rsid w:val="00D77817"/>
    <w:rsid w:val="00D87B28"/>
    <w:rsid w:val="00D9116E"/>
    <w:rsid w:val="00D94331"/>
    <w:rsid w:val="00DA238F"/>
    <w:rsid w:val="00DC092D"/>
    <w:rsid w:val="00DC5AB6"/>
    <w:rsid w:val="00DD020E"/>
    <w:rsid w:val="00DD0CEA"/>
    <w:rsid w:val="00DE5FAC"/>
    <w:rsid w:val="00DF173C"/>
    <w:rsid w:val="00DF4068"/>
    <w:rsid w:val="00DF5CF0"/>
    <w:rsid w:val="00E0029E"/>
    <w:rsid w:val="00E0270E"/>
    <w:rsid w:val="00E06328"/>
    <w:rsid w:val="00E074A8"/>
    <w:rsid w:val="00E11ADC"/>
    <w:rsid w:val="00E11D04"/>
    <w:rsid w:val="00E32985"/>
    <w:rsid w:val="00E37FF5"/>
    <w:rsid w:val="00E44C45"/>
    <w:rsid w:val="00E46C06"/>
    <w:rsid w:val="00E474A4"/>
    <w:rsid w:val="00E51B69"/>
    <w:rsid w:val="00E51BBF"/>
    <w:rsid w:val="00E61F48"/>
    <w:rsid w:val="00E631D9"/>
    <w:rsid w:val="00E633FD"/>
    <w:rsid w:val="00E83842"/>
    <w:rsid w:val="00E955DF"/>
    <w:rsid w:val="00EB19F6"/>
    <w:rsid w:val="00EB6272"/>
    <w:rsid w:val="00EC062F"/>
    <w:rsid w:val="00ED25D9"/>
    <w:rsid w:val="00ED340A"/>
    <w:rsid w:val="00EF2E1E"/>
    <w:rsid w:val="00EF3C14"/>
    <w:rsid w:val="00EF7FAE"/>
    <w:rsid w:val="00F0313F"/>
    <w:rsid w:val="00F05AF7"/>
    <w:rsid w:val="00F073D6"/>
    <w:rsid w:val="00F153B7"/>
    <w:rsid w:val="00F269E7"/>
    <w:rsid w:val="00F302A0"/>
    <w:rsid w:val="00F42241"/>
    <w:rsid w:val="00F469D1"/>
    <w:rsid w:val="00F539C9"/>
    <w:rsid w:val="00F671AC"/>
    <w:rsid w:val="00F7396F"/>
    <w:rsid w:val="00F87BAB"/>
    <w:rsid w:val="00F93834"/>
    <w:rsid w:val="00F96F2D"/>
    <w:rsid w:val="00FC1909"/>
    <w:rsid w:val="00FC7EDC"/>
    <w:rsid w:val="00FD03FE"/>
    <w:rsid w:val="00FD0B96"/>
    <w:rsid w:val="00FD2349"/>
    <w:rsid w:val="00FD682F"/>
    <w:rsid w:val="00FE2552"/>
    <w:rsid w:val="00FE7D18"/>
    <w:rsid w:val="00FF77EA"/>
    <w:rsid w:val="63F82331"/>
    <w:rsid w:val="66C9422B"/>
    <w:rsid w:val="702D556F"/>
    <w:rsid w:val="76F83C10"/>
    <w:rsid w:val="783231F5"/>
    <w:rsid w:val="7C5B3918"/>
    <w:rsid w:val="7F246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ody Text"/>
    <w:basedOn w:val="1"/>
    <w:qFormat/>
    <w:uiPriority w:val="0"/>
    <w:pPr>
      <w:spacing w:after="120"/>
    </w:p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8">
    <w:name w:val="Hyperlink"/>
    <w:qFormat/>
    <w:uiPriority w:val="0"/>
    <w:rPr>
      <w:color w:val="0000FF"/>
      <w:u w:val="single"/>
    </w:rPr>
  </w:style>
  <w:style w:type="paragraph" w:customStyle="1" w:styleId="10">
    <w:name w:val="Char"/>
    <w:basedOn w:val="1"/>
    <w:uiPriority w:val="0"/>
    <w:rPr>
      <w:szCs w:val="20"/>
    </w:rPr>
  </w:style>
  <w:style w:type="character" w:customStyle="1" w:styleId="11">
    <w:name w:val="da"/>
    <w:basedOn w:val="7"/>
    <w:qFormat/>
    <w:uiPriority w:val="0"/>
  </w:style>
  <w:style w:type="paragraph" w:customStyle="1" w:styleId="12">
    <w:name w:val="Char Char Char Char Char Char Char Char Char Char"/>
    <w:basedOn w:val="1"/>
    <w:qFormat/>
    <w:uiPriority w:val="0"/>
    <w:rPr>
      <w:szCs w:val="20"/>
    </w:rPr>
  </w:style>
  <w:style w:type="character" w:customStyle="1" w:styleId="13">
    <w:name w:val="页眉 Char"/>
    <w:link w:val="5"/>
    <w:qFormat/>
    <w:uiPriority w:val="0"/>
    <w:rPr>
      <w:kern w:val="2"/>
      <w:sz w:val="18"/>
      <w:szCs w:val="18"/>
    </w:rPr>
  </w:style>
  <w:style w:type="character" w:customStyle="1" w:styleId="14">
    <w:name w:val="页脚 Char"/>
    <w:link w:val="4"/>
    <w:qFormat/>
    <w:uiPriority w:val="0"/>
    <w:rPr>
      <w:kern w:val="2"/>
      <w:sz w:val="18"/>
      <w:szCs w:val="18"/>
    </w:rPr>
  </w:style>
  <w:style w:type="character" w:customStyle="1" w:styleId="15">
    <w:name w:val="批注文字 Char"/>
    <w:basedOn w:val="7"/>
    <w:link w:val="2"/>
    <w:qFormat/>
    <w:uiPriority w:val="99"/>
    <w:rPr>
      <w:kern w:val="2"/>
      <w:sz w:val="21"/>
      <w:szCs w:val="24"/>
    </w:rPr>
  </w:style>
  <w:style w:type="paragraph" w:customStyle="1" w:styleId="16">
    <w:name w:val="Default"/>
    <w:link w:val="1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7">
    <w:name w:val="fontstyle01"/>
    <w:basedOn w:val="7"/>
    <w:qFormat/>
    <w:uiPriority w:val="0"/>
    <w:rPr>
      <w:rFonts w:hint="eastAsia" w:ascii="宋体" w:hAnsi="宋体" w:eastAsia="宋体"/>
      <w:color w:val="000000"/>
      <w:sz w:val="24"/>
      <w:szCs w:val="24"/>
    </w:rPr>
  </w:style>
  <w:style w:type="character" w:customStyle="1" w:styleId="18">
    <w:name w:val="Default Char"/>
    <w:basedOn w:val="7"/>
    <w:link w:val="16"/>
    <w:qFormat/>
    <w:locked/>
    <w:uiPriority w:val="0"/>
    <w:rPr>
      <w:rFonts w:ascii="宋体" w:hAnsi="Calibri" w:eastAsia="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Words>
  <Characters>708</Characters>
  <Lines>5</Lines>
  <Paragraphs>1</Paragraphs>
  <TotalTime>19</TotalTime>
  <ScaleCrop>false</ScaleCrop>
  <LinksUpToDate>false</LinksUpToDate>
  <CharactersWithSpaces>831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2017-03-18T02:21:00Z</dcterms:created>
  <dc:creator>MC SYSTEM</dc:creator>
  <cp:lastModifiedBy>王茂</cp:lastModifiedBy>
  <cp:lastPrinted>2021-10-27T08:39:32Z</cp:lastPrinted>
  <dcterms:modified xsi:type="dcterms:W3CDTF">2021-10-27T08:39:57Z</dcterms:modified>
  <dc:title>证券代码：000759      证券简称：武汉中百      公告编号：2010-13</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